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jpg" ContentType="image/jpeg"/>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color w:val="18324B"/>
          <w:sz w:val="62"/>
        </w:rPr>
        <w:t>ПАМЯТКА</w:t>
      </w:r>
    </w:p>
    <w:p>
      <w:pPr>
        <w:jc w:val="center"/>
      </w:pPr>
      <w:r>
        <w:rPr>
          <w:b/>
          <w:color w:val="18324B"/>
          <w:sz w:val="42"/>
        </w:rPr>
        <w:t>ПО ЮРИДИЧЕСКОМУ ОФОРМЛЕНИЮ</w:t>
        <w:br/>
        <w:t>САЙТОВ И ДОМЕННЫХ ИМЕН</w:t>
        <w:br/>
        <w:t>В РОССИЙСКОЙ ФЕДЕРАЦИИ</w:t>
      </w:r>
    </w:p>
    <w:p>
      <w:pPr>
        <w:spacing w:before="360"/>
        <w:jc w:val="center"/>
      </w:pPr>
      <w:r>
        <w:rPr>
          <w:color w:val="46555F"/>
          <w:sz w:val="26"/>
        </w:rPr>
        <w:t>Универсальный практический справочник</w:t>
      </w:r>
    </w:p>
    <w:p>
      <w:pPr>
        <w:jc w:val="center"/>
      </w:pPr>
      <w:r>
        <w:rPr>
          <w:b/>
          <w:sz w:val="24"/>
        </w:rPr>
        <w:t>Актуальность: 1 сентября 2026 года</w:t>
      </w:r>
    </w:p>
    <w:p>
      <w:pPr>
        <w:jc w:val="center"/>
      </w:pPr>
      <w:r>
        <w:rPr>
          <w:color w:val="5F5F5F"/>
          <w:sz w:val="19"/>
        </w:rPr>
        <w:t>С учетом нормативных актов, официально опубликованных по состоянию на 29 августа 2026 года</w:t>
      </w:r>
    </w:p>
    <w:p>
      <w:pPr>
        <w:pStyle w:val="LegalNote"/>
        <w:jc w:val="center"/>
      </w:pPr>
      <w:r>
        <w:t>Документ предназначен для владельцев сайтов, индивидуальных предпринимателей, организаций, разработчиков, интернет-магазинов, онлайн-сервисов, порталов, агрегаторов и иных владельцев интернет-ресурсов, работающих с пользователями на территории Российской Федерации.</w:t>
      </w:r>
    </w:p>
    <w:p>
      <w:pPr>
        <w:pStyle w:val="Small"/>
        <w:jc w:val="center"/>
      </w:pPr>
      <w:r>
        <w:t>Памятка носит информационно-справочный характер. Для лицензируемых, финансовых, медицинских, образовательных и иных регулируемых видов деятельности необходимо дополнительно применять отраслевое законодательство.</w:t>
      </w:r>
    </w:p>
    <w:p>
      <w:r>
        <w:br w:type="page"/>
      </w:r>
    </w:p>
    <w:p>
      <w:pPr>
        <w:pStyle w:val="Heading1"/>
      </w:pPr>
      <w:r>
        <w:t>Как пользоваться памяткой</w:t>
      </w:r>
    </w:p>
    <w:p>
      <w:r>
        <w:t>Юридические обязанности сайта определяются не названием ресурса, а его фактическими функциями. Один и тот же корпоративный сайт может одновременно являться сайтом услуг, оператором персональных данных, интернет-магазином, владельцем ресурса с авторизацией и владельцем рекомендательной системы.</w:t>
      </w:r>
    </w:p>
    <w:p>
      <w:r>
        <w:t>Проверку следует проводить последовательно:</w:t>
      </w:r>
    </w:p>
    <w:p>
      <w:pPr>
        <w:pStyle w:val="ListBullet"/>
        <w:spacing w:after="50"/>
      </w:pPr>
      <w:r>
        <w:t>установить владельца сайта и лицо, которое фактически продает товар или оказывает услугу;</w:t>
      </w:r>
    </w:p>
    <w:p>
      <w:pPr>
        <w:pStyle w:val="ListBullet"/>
        <w:spacing w:after="50"/>
      </w:pPr>
      <w:r>
        <w:t>определить, собирает ли сайт персональные данные и куда они передаются;</w:t>
      </w:r>
    </w:p>
    <w:p>
      <w:pPr>
        <w:pStyle w:val="ListBullet"/>
        <w:spacing w:after="50"/>
      </w:pPr>
      <w:r>
        <w:t>определить, заключается ли договор и принимается ли оплата непосредственно на сайте;</w:t>
      </w:r>
    </w:p>
    <w:p>
      <w:pPr>
        <w:pStyle w:val="ListBullet"/>
        <w:spacing w:after="50"/>
      </w:pPr>
      <w:r>
        <w:t>проверить наличие личного кабинета, авторизации, пользовательского контента, сообщений и рекомендательных алгоритмов;</w:t>
      </w:r>
    </w:p>
    <w:p>
      <w:pPr>
        <w:pStyle w:val="ListBullet"/>
        <w:spacing w:after="50"/>
      </w:pPr>
      <w:r>
        <w:t>определить, относится ли деятельность к отрасли со специальными правилами;</w:t>
      </w:r>
    </w:p>
    <w:p>
      <w:pPr>
        <w:pStyle w:val="ListBullet"/>
        <w:spacing w:after="50"/>
      </w:pPr>
      <w:r>
        <w:t>после этого сформировать обязательный комплект документов и технических настроек.</w:t>
      </w:r>
    </w:p>
    <w:p>
      <w:pPr>
        <w:pStyle w:val="LegalNote"/>
        <w:shd w:fill="EEF4F8"/>
        <w:pBdr>
          <w:left w:val="single" w:sz="18" w:space="7" w:color="2D6A8A"/>
        </w:pBdr>
      </w:pPr>
      <w:r>
        <w:rPr>
          <w:b/>
          <w:color w:val="18324B"/>
        </w:rPr>
        <w:t xml:space="preserve">Ключевой принцип. </w:t>
      </w:r>
      <w:r>
        <w:t>Наличие документа в футере само по себе не означает соблюдение закона. Политика персональных данных не заменяет уведомление Роскомнадзора, российскую локализацию базы, законное основание обработки и техническую защиту данных. Аналогично, публичная оферта не заменяет обязательную информацию о продавце, товаре, возвратах и порядке претензий.</w:t>
      </w:r>
    </w:p>
    <w:p>
      <w:pPr>
        <w:pStyle w:val="Heading2"/>
      </w:pPr>
      <w:r>
        <w:t>Статусы требований в этой памятке</w:t>
      </w:r>
    </w:p>
    <w:p>
      <w:r>
        <w:t>Термин «обязательно» используется только тогда, когда требование прямо следует из закона или подзаконного акта при наличии указанных условий. Термин «условно обязательно» означает, что обязанность возникает только при наличии конкретной функции сайта или способа ведения деятельности. Термин «рекомендуется» означает меру снижения юридического риска, которая сама по себе не установлена как универсальная обязанность для любого сайта.</w:t>
      </w:r>
    </w:p>
    <w:p>
      <w:pPr>
        <w:pStyle w:val="Heading1"/>
      </w:pPr>
      <w:r>
        <w:t>1. Базовые требования, применимые к коммерческим сайтам</w:t>
      </w:r>
    </w:p>
    <w:p>
      <w:pPr>
        <w:pStyle w:val="Heading2"/>
      </w:pPr>
      <w:r>
        <w:t>1.1. Идентификация владельца сайта</w:t>
      </w:r>
    </w:p>
    <w:p>
      <w:r>
        <w:t>В соответствии с частью 2 статьи 10 Федерального закона от 27.07.2006 N 149-ФЗ «Об информации, информационных технологиях и о защите информации» владелец сайта обязан разместить на принадлежащем ему сайте информацию о своем наименовании, месте нахождения и адресе, а также адрес электронной почты для направления юридически значимого заявления, предусмотренного статьей 15.7 указанного закона.</w:t>
      </w:r>
    </w:p>
    <w:p>
      <w:r>
        <w:t>Если через сайт осуществляется продажа товаров, выполнение работ или оказание услуг потребителям, дополнительно применяются статьи 8-10 Закона РФ от 07.02.1992 N 2300-1 «О защите прав потребителей». Для организации до потребителя доводятся фирменное наименование, место нахождения (адрес), режим работы и иные предусмотренные законом сведения. Индивидуальный предприниматель сообщает сведения о государственной регистрации и наименовании зарегистрировавшего органа; при лицензируемой деятельности - сведения о лицензии и выдавшем ее органе.</w:t>
      </w:r>
    </w:p>
    <w:p>
      <w:pPr>
        <w:pStyle w:val="LegalNote"/>
        <w:shd w:fill="EEF4F8"/>
        <w:pBdr>
          <w:left w:val="single" w:sz="18" w:space="7" w:color="2D6A8A"/>
        </w:pBdr>
      </w:pPr>
      <w:r>
        <w:rPr>
          <w:b/>
          <w:color w:val="18324B"/>
        </w:rPr>
        <w:t xml:space="preserve">Практическое размещение. </w:t>
      </w:r>
      <w:r>
        <w:t>Для коммерческого сайта сведения о владельце разумно размещать на отдельной странице «Реквизиты», «Контакты» или «Правовая информация» и дублировать ссылку в футере. Для интернет-магазина часть сведений должна быть непосредственно доступна пользователю в порядке, предусмотренном специальными правилами дистанционной торговли.</w:t>
      </w:r>
    </w:p>
    <w:p>
      <w:pPr>
        <w:pStyle w:val="Heading2"/>
      </w:pPr>
      <w:r>
        <w:t>1.2. Информация для потребителей и русский язык</w:t>
      </w:r>
    </w:p>
    <w:p>
      <w:r>
        <w:t>Сведения об изготовителе, исполнителе, продавце и реализуемых товарах, работах и услугах предоставляются потребителю на русском языке в наглядной и доступной форме (п. 2 ст. 8 Закона N 2300-1).</w:t>
      </w:r>
    </w:p>
    <w:p>
      <w:r>
        <w:t>С 1 марта 2026 года действует статья 10.1 Закона N 2300-1, введенная Федеральным законом от 24.06.2025 N 168-ФЗ. Нерекламная информация, предназначенная для публичного ознакомления потребителей, подпадающая под эту норму, должна размещаться на русском языке. Закон допускает предусмотренное им дублирование на иных языках и содержит исключения, в частности для фирменных наименований, товарных знаков и знаков обслуживания.</w:t>
      </w:r>
    </w:p>
    <w:p>
      <w:r>
        <w:t>Это не означает запрета многоязычных сайтов. Обязательная для потребителя информация должна быть доступна на русском языке; иностранная версия может существовать дополнительно в пределах, допускаемых законодательством.</w:t>
      </w:r>
    </w:p>
    <w:p>
      <w:pPr>
        <w:pStyle w:val="Heading2"/>
      </w:pPr>
      <w:r>
        <w:t>1.3. Достоверность информации о товарах, работах и услугах</w:t>
      </w:r>
    </w:p>
    <w:p>
      <w:r>
        <w:t>Статья 10 Закона N 2300-1 требует предоставлять потребителю необходимую и достоверную информацию, обеспечивающую возможность правильного выбора товара, работы или услуги. Для конкретной категории товара или услуги перечень обязательных сведений может устанавливаться отдельными правилами Правительства РФ.</w:t>
      </w:r>
    </w:p>
    <w:p>
      <w:r>
        <w:t>Недопустимо создавать на сайте ложное представление о цене, свойствах, скидке, гарантиях, наличии товара, сроках, лицензиях, сертификатах, происхождении товара или иных существенных условиях. Рекламные заявления дополнительно подчиняются Федеральному закону от 13.03.2006 N 38-ФЗ «О рекламе».</w:t>
      </w:r>
    </w:p>
    <w:p>
      <w:pPr>
        <w:pStyle w:val="Heading2"/>
      </w:pPr>
      <w:r>
        <w:t>1.4. Интеллектуальная собственность</w:t>
      </w:r>
    </w:p>
    <w:p>
      <w:r>
        <w:t>Тексты, фотографии, иллюстрации, дизайн, видеоматериалы, музыка, программный код и иные результаты творческого труда могут охраняться авторским правом независимо от государственной регистрации (ст. 1259 ГК РФ). Использование чужих материалов требует правового основания: исключительного права, лицензии, договора, открытой лицензии либо иного предусмотренного законом основания.</w:t>
      </w:r>
    </w:p>
    <w:p>
      <w:r>
        <w:t>Доменное имя также необходимо проверять на конфликт с товарными знаками. В силу подп. 5 п. 2 ст. 1484 ГК РФ исключительное право на товарный знак распространяется на его использование в сети Интернет, в том числе в доменном имени и при других способах адресации.</w:t>
      </w:r>
    </w:p>
    <w:p>
      <w:pPr>
        <w:pStyle w:val="LegalNote"/>
        <w:shd w:fill="EEF4F8"/>
        <w:pBdr>
          <w:left w:val="single" w:sz="18" w:space="7" w:color="2D6A8A"/>
        </w:pBdr>
      </w:pPr>
      <w:r>
        <w:rPr>
          <w:b/>
          <w:color w:val="18324B"/>
        </w:rPr>
        <w:t xml:space="preserve">Нельзя считать легальным источником. </w:t>
      </w:r>
      <w:r>
        <w:t>Изображение, найденное в поисковой системе, социальной сети, на чужом сайте или в каталоге, не становится свободным для коммерческого использования только потому, что его можно скачать.</w:t>
      </w:r>
    </w:p>
    <w:p>
      <w:pPr>
        <w:pStyle w:val="Heading1"/>
      </w:pPr>
      <w:r>
        <w:t>2. Персональные данные: требования к любому сайту, который работает с данными людей</w:t>
      </w:r>
    </w:p>
    <w:p>
      <w:pPr>
        <w:pStyle w:val="Heading2"/>
      </w:pPr>
      <w:r>
        <w:t>2.1. Когда сайт попадает под Федеральный закон N 152-ФЗ</w:t>
      </w:r>
    </w:p>
    <w:p>
      <w:r>
        <w:t>Если владелец сайта определяет цели и состав обработки сведений, относящихся прямо или косвенно к определенному или определяемому физическому лицу, он является оператором персональных данных в смысле Федерального закона от 27.07.2006 N 152-ФЗ «О персональных данных».</w:t>
      </w:r>
    </w:p>
    <w:p>
      <w:r>
        <w:t>Типичные источники персональных данных на сайте:</w:t>
      </w:r>
    </w:p>
    <w:p>
      <w:pPr>
        <w:pStyle w:val="ListBullet"/>
        <w:spacing w:after="50"/>
      </w:pPr>
      <w:r>
        <w:t>формы «Оставить заявку», «Заказать звонок», «Получить расчет», обратная связь;</w:t>
      </w:r>
    </w:p>
    <w:p>
      <w:pPr>
        <w:pStyle w:val="ListBullet"/>
        <w:spacing w:after="50"/>
      </w:pPr>
      <w:r>
        <w:t>регистрация и личный кабинет;</w:t>
      </w:r>
    </w:p>
    <w:p>
      <w:pPr>
        <w:pStyle w:val="ListBullet"/>
        <w:spacing w:after="50"/>
      </w:pPr>
      <w:r>
        <w:t>оформление заказа, доставка и платежные процессы;</w:t>
      </w:r>
    </w:p>
    <w:p>
      <w:pPr>
        <w:pStyle w:val="ListBullet"/>
        <w:spacing w:after="50"/>
      </w:pPr>
      <w:r>
        <w:t>онлайн-запись, бронирование, анкеты, опросы;</w:t>
      </w:r>
    </w:p>
    <w:p>
      <w:pPr>
        <w:pStyle w:val="ListBullet"/>
        <w:spacing w:after="50"/>
      </w:pPr>
      <w:r>
        <w:t>подписка на рассылку;</w:t>
      </w:r>
    </w:p>
    <w:p>
      <w:pPr>
        <w:pStyle w:val="ListBullet"/>
        <w:spacing w:after="50"/>
      </w:pPr>
      <w:r>
        <w:t>чат с оператором или пользователями;</w:t>
      </w:r>
    </w:p>
    <w:p>
      <w:pPr>
        <w:pStyle w:val="ListBullet"/>
        <w:spacing w:after="50"/>
      </w:pPr>
      <w:r>
        <w:t>загрузка резюме, документов, фотографий и иных пользовательских файлов;</w:t>
      </w:r>
    </w:p>
    <w:p>
      <w:pPr>
        <w:pStyle w:val="ListBullet"/>
        <w:spacing w:after="50"/>
      </w:pPr>
      <w:r>
        <w:t>аналитические и рекламные технологии, если используемые идентификаторы и совокупность сведений позволяют прямо или косвенно определить пользователя.</w:t>
      </w:r>
    </w:p>
    <w:p>
      <w:pPr>
        <w:pStyle w:val="Heading2"/>
      </w:pPr>
      <w:r>
        <w:t>2.2. Политика в отношении обработки персональных данных</w:t>
      </w:r>
    </w:p>
    <w:p>
      <w:r>
        <w:t>Часть 2 статьи 18.1 Закона N 152-ФЗ обязывает оператора опубликовать или иным образом обеспечить неограниченный доступ к документу, определяющему его политику в отношении обработки персональных данных, и к сведениям о реализуемых требованиях к защите персональных данных.</w:t>
      </w:r>
    </w:p>
    <w:p>
      <w:r>
        <w:t>Если сбор осуществляется через Интернет, политика должна быть опубликована в соответствующей сети, в том числе на страницах сайта, посредством которых осуществляется сбор, и доступ к ней должен быть обеспечен пользователю.</w:t>
      </w:r>
    </w:p>
    <w:p>
      <w:r>
        <w:t>Политика должна соответствовать реальной архитектуре обработки: фактическим целям, категориям данных, срокам, получателям, используемым сервисам, порученной обработке, трансграничной передаче, местонахождению баз и порядку реализации прав субъектов. Копирование универсального шаблона, который не соответствует сайту, не устраняет нарушение.</w:t>
      </w:r>
    </w:p>
    <w:p>
      <w:pPr>
        <w:pStyle w:val="Heading2"/>
      </w:pPr>
      <w:r>
        <w:t>2.3. Согласие на обработку персональных данных</w:t>
      </w:r>
    </w:p>
    <w:p>
      <w:r>
        <w:t>Согласие является только одним из возможных правовых оснований обработки. Основания определяются статьей 6 Закона N 152-ФЗ. Например, в ряде случаев обработка может быть необходима для заключения договора по инициативе субъекта или для исполнения договора. Поэтому утверждение «на любой форме всегда обязателен чекбокс согласия» юридически неточно.</w:t>
      </w:r>
    </w:p>
    <w:p>
      <w:r>
        <w:t>Если конкретная обработка осуществляется именно на основании согласия, согласие должно отвечать требованиям статьи 9 Закона N 152-ФЗ. С 1 сентября 2025 года оно должно оформляться отдельно от иных информации и документов, которые подтверждает или подписывает субъект (Федеральный закон от 24.06.2025 N 156-ФЗ).</w:t>
      </w:r>
    </w:p>
    <w:p>
      <w:r>
        <w:t>Оператор обязан быть способен подтвердить получение согласия или наличие иного законного основания обработки. Для электронной формы поэтому необходимо сохранять доказуемые сведения о действии пользователя, дате, версии текста и цели согласия.</w:t>
      </w:r>
    </w:p>
    <w:p>
      <w:pPr>
        <w:pStyle w:val="LegalNote"/>
        <w:shd w:fill="EEF4F8"/>
        <w:pBdr>
          <w:left w:val="single" w:sz="18" w:space="7" w:color="2D6A8A"/>
        </w:pBdr>
      </w:pPr>
      <w:r>
        <w:rPr>
          <w:b/>
          <w:color w:val="18324B"/>
        </w:rPr>
        <w:t xml:space="preserve">Важно. </w:t>
      </w:r>
      <w:r>
        <w:t>Нельзя одной общей галочкой автоматически «склеивать» согласие на обработку персональных данных, согласие на рекламу, принятие оферты и согласие на дополнительные платные услуги, если соответствующие нормы требуют самостоятельного волеизъявления.</w:t>
      </w:r>
    </w:p>
    <w:p>
      <w:pPr>
        <w:pStyle w:val="Heading2"/>
      </w:pPr>
      <w:r>
        <w:t>2.4. Уведомление Роскомнадзора</w:t>
      </w:r>
    </w:p>
    <w:p>
      <w:r>
        <w:t>По общему правилу оператор до начала обработки персональных данных обязан уведомить Роскомнадзор о намерении осуществлять обработку (ч. 1 ст. 22 Закона N 152-ФЗ). Исключения после реформы 2022 года существенно сокращены и не охватывают обычный коммерческий сайт только потому, что он собирает «лишь имя и телефон».</w:t>
      </w:r>
    </w:p>
    <w:p>
      <w:r>
        <w:t>Если сведения, включенные в уведомление, изменились, оператор сообщает об изменениях не позднее 15-го числа месяца, следующего за месяцем, в котором они возникли. При прекращении обработки уведомление направляется в течение десяти рабочих дней (ч. 7 ст. 22 Закона N 152-ФЗ).</w:t>
      </w:r>
    </w:p>
    <w:p>
      <w:pPr>
        <w:pStyle w:val="LegalNote"/>
        <w:shd w:fill="EEF4F8"/>
        <w:pBdr>
          <w:left w:val="single" w:sz="18" w:space="7" w:color="2D6A8A"/>
        </w:pBdr>
      </w:pPr>
      <w:r>
        <w:rPr>
          <w:b/>
          <w:color w:val="18324B"/>
        </w:rPr>
        <w:t xml:space="preserve">Это не страница сайта. </w:t>
      </w:r>
      <w:r>
        <w:t>Уведомление Роскомнадзора является организационной обязанностью оператора. Наличие ссылки на политику в футере эту обязанность не заменяет.</w:t>
      </w:r>
    </w:p>
    <w:p>
      <w:pPr>
        <w:pStyle w:val="Heading2"/>
      </w:pPr>
      <w:r>
        <w:t>2.5. Локализация баз персональных данных граждан РФ</w:t>
      </w:r>
    </w:p>
    <w:p>
      <w:r>
        <w:t>С 1 июля 2025 года часть 5 статьи 18 Закона N 152-ФЗ запрещает при сборе персональных данных граждан РФ, в том числе через Интернет, запись, систематизацию, накопление, хранение, уточнение и извлечение таких данных с использованием баз данных, находящихся за пределами Российской Федерации, кроме прямо предусмотренных законом исключений.</w:t>
      </w:r>
    </w:p>
    <w:p>
      <w:r>
        <w:t>Сам факт нахождения веб-сервера за рубежом не тождественен нарушению. Критично определить, где фактически расположены базы, в которые записываются собираемые данные, и какие операции с ними выполняются. Если форма сначала записывает заявку в иностранную базу, иностранную CRM или зарубежный SaaS, а затем копирует ее в Россию, такой сценарий требует отдельной проверки на соответствие части 5 статьи 18.</w:t>
      </w:r>
    </w:p>
    <w:p>
      <w:pPr>
        <w:pStyle w:val="Heading2"/>
      </w:pPr>
      <w:r>
        <w:t>2.6. Трансграничная передача</w:t>
      </w:r>
    </w:p>
    <w:p>
      <w:r>
        <w:t>Если после соблюдения требований локализации персональные данные передаются иностранному государственному органу, иностранному физическому или юридическому лицу, применяется статья 12 Закона N 152-ФЗ. До начала трансграничной передачи оператор обязан направить в Роскомнадзор отдельное уведомление о намерении осуществлять такую передачу. Оно направляется отдельно от общего уведомления по статье 22.</w:t>
      </w:r>
    </w:p>
    <w:p>
      <w:r>
        <w:t>До подачи уведомления оператор должен получить предусмотренные частью 5 статьи 12 сведения о принимающей стороне, мерах защиты и, в предусмотренных случаях, правовом регулировании соответствующего иностранного государства.</w:t>
      </w:r>
    </w:p>
    <w:p>
      <w:pPr>
        <w:pStyle w:val="Heading2"/>
      </w:pPr>
      <w:r>
        <w:t>2.7. Поручение обработки внешним сервисам</w:t>
      </w:r>
    </w:p>
    <w:p>
      <w:r>
        <w:t>Передача обработки CRM, хостингу, коллтрекингу, сервису рассылок, облачному провайдеру, подрядчику или иной третьей стороне не освобождает оператора от ответственности за организацию обработки. Необходимо определить правовой статус получателя и, когда это является обработкой по поручению оператора, оформить требования к поручению в соответствии со статьей 6 Закона N 152-ФЗ, включая цели, перечень данных и действий, требования к конфиденциальности и безопасности.</w:t>
      </w:r>
    </w:p>
    <w:p>
      <w:pPr>
        <w:pStyle w:val="Heading2"/>
      </w:pPr>
      <w:r>
        <w:t>2.8. Безопасность и инциденты</w:t>
      </w:r>
    </w:p>
    <w:p>
      <w:r>
        <w:t>Оператор обязан принимать правовые, организационные и технические меры, необходимые для выполнения законодательства и обеспечения безопасности персональных данных (ст. 18.1 и 19 Закона N 152-ФЗ). Для юридического лица предусмотрено назначение лица, ответственного за организацию обработки персональных данных, и принятие внутренних документов.</w:t>
      </w:r>
    </w:p>
    <w:p>
      <w:r>
        <w:t>При установлении факта неправомерной или случайной передачи, предоставления, распространения или доступа к персональным данным, повлекших нарушение прав субъектов, оператор обязан уведомить Роскомнадзор в течение 24 часов, а в течение 72 часов сообщить результаты внутреннего расследования и предусмотренные законом сведения (ч. 3.1 ст. 21 Закона N 152-ФЗ).</w:t>
      </w:r>
    </w:p>
    <w:p>
      <w:pPr>
        <w:pStyle w:val="Heading2"/>
      </w:pPr>
      <w:r>
        <w:t>2.9. Cookies, аналитика и идентификаторы</w:t>
      </w:r>
    </w:p>
    <w:p>
      <w:r>
        <w:t>Российское законодательство не устанавливает универсального правила, согласно которому любой сайт обязан иметь отдельный документ с названием «Cookie Policy» или европейский по модели GDPR баннер согласия на все cookies.</w:t>
      </w:r>
    </w:p>
    <w:p>
      <w:r>
        <w:t>Однако cookies, device-ID, рекламные идентификаторы, IP-адреса и иные технические сведения могут входить в обработку персональных данных, если в конкретной системе они относятся прямо или косвенно к определенному или определяемому лицу. Тогда необходимо определить законное основание обработки, отразить реальную обработку в политике и выполнить иные применимые требования Закона N 152-ФЗ.</w:t>
      </w:r>
    </w:p>
    <w:p>
      <w:r>
        <w:t>Если аналитический или рекламный сервис передает данные иностранному лицу либо использует иностранную базу на стадии сбора, дополнительно проверяются требования локализации и трансграничной передачи.</w:t>
      </w:r>
    </w:p>
    <w:p>
      <w:pPr>
        <w:pStyle w:val="Heading1"/>
      </w:pPr>
      <w:r>
        <w:t>3. Формы, чекбоксы и интерфейсные решения</w:t>
      </w:r>
    </w:p>
    <w:p>
      <w:pPr>
        <w:pStyle w:val="Heading2"/>
      </w:pPr>
      <w:r>
        <w:t>3.1. Форма заявки</w:t>
      </w:r>
    </w:p>
    <w:p>
      <w:r>
        <w:t>До отправки формы пользователю должна быть доступна информация, необходимая для понимания того, кто и для какой цели получает его данные. Если основанием является согласие, действие, которым оно дается, должно быть самостоятельным и доказуемым. Ссылка на политику должна быть доступна непосредственно со страницы сбора данных.</w:t>
      </w:r>
    </w:p>
    <w:p>
      <w:pPr>
        <w:pStyle w:val="Heading2"/>
      </w:pPr>
      <w:r>
        <w:t>3.2. Согласие на рекламу</w:t>
      </w:r>
    </w:p>
    <w:p>
      <w:r>
        <w:t>Согласие на обработку персональных данных не заменяет согласие на получение рекламы. В соответствии с частью 1 статьи 18 Федерального закона N 38-ФЗ распространение рекламы по сетям электросвязи, включая телефонные звонки, SMS и электронные сообщения, допускается только при условии предварительного согласия абонента или адресата. Обязанность доказать наличие согласия лежит на рекламораспространителе.</w:t>
      </w:r>
    </w:p>
    <w:p>
      <w:r>
        <w:t>После требования адресата прекратить распространение рекламы оно должно быть прекращено. Автоматическое распространение рекламы по сетям электросвязи без участия человека регулируется отдельными ограничениями статьи 18 Закона N 38-ФЗ.</w:t>
      </w:r>
    </w:p>
    <w:p>
      <w:pPr>
        <w:pStyle w:val="Heading2"/>
      </w:pPr>
      <w:r>
        <w:t>3.3. Дополнительные платные услуги и предустановленные галочки</w:t>
      </w:r>
    </w:p>
    <w:p>
      <w:r>
        <w:t>С 1 сентября 2025 года продажа дополнительных товаров, выполнение дополнительных работ и оказание дополнительных услуг за отдельную плату допускаются исключительно с согласия потребителя (п. 3.1 ст. 16 Закона N 2300-1). Продавец или исполнитель не вправе формировать согласие за потребителя посредством автоматических отметок, заранее выбранных опций или иных решений, подменяющих волеизъявление потребителя.</w:t>
      </w:r>
    </w:p>
    <w:p>
      <w:pPr>
        <w:pStyle w:val="LegalNote"/>
        <w:shd w:fill="EEF4F8"/>
        <w:pBdr>
          <w:left w:val="single" w:sz="18" w:space="7" w:color="2D6A8A"/>
        </w:pBdr>
      </w:pPr>
      <w:r>
        <w:rPr>
          <w:b/>
          <w:color w:val="18324B"/>
        </w:rPr>
        <w:t xml:space="preserve">Для checkout. </w:t>
      </w:r>
      <w:r>
        <w:t>Страховка, упаковка, расширенная гарантия, подписка, сервисный пакет, донат, платное уведомление или иная дополнительная позиция не должна быть заранее включена в заказ как оплачиваемая опция без предусмотренного законом согласия.</w:t>
      </w:r>
    </w:p>
    <w:p>
      <w:pPr>
        <w:pStyle w:val="Heading1"/>
      </w:pPr>
      <w:r>
        <w:t>4. Договоры, оферты и дистанционные продажи</w:t>
      </w:r>
    </w:p>
    <w:p>
      <w:pPr>
        <w:pStyle w:val="Heading2"/>
      </w:pPr>
      <w:r>
        <w:t>4.1. Когда публичная оферта не обязательна</w:t>
      </w:r>
    </w:p>
    <w:p>
      <w:r>
        <w:t>Сам по себе коммерческий характер сайта не создает обязанности публиковать документ с названием «Публичная оферта». Если сайт только информирует об услугах и позволяет оставить заявку, а существенные условия и договор согласовываются позднее, сайт может выполнять функцию приглашения делать оферты (ст. 437 ГК РФ), а не быть самостоятельной публичной офертой.</w:t>
      </w:r>
    </w:p>
    <w:p>
      <w:pPr>
        <w:pStyle w:val="Heading2"/>
      </w:pPr>
      <w:r>
        <w:t>4.2. Когда оферта необходима как часть механизма онлайн-договора</w:t>
      </w:r>
    </w:p>
    <w:p>
      <w:r>
        <w:t>Если договор заключается непосредственно через сайт, условия должны быть сформулированы так, чтобы пользователь мог определить предмет, цену или порядок ее определения и иные существенные условия соответствующего вида договора. Акцепт может совершаться действием, указанным в оферте, в том числе оплатой или иным исполнением (ст. 438 ГК РФ).</w:t>
      </w:r>
    </w:p>
    <w:p>
      <w:r>
        <w:t>Для дистанционной розничной продажи товаров с 1 сентября 2026 года действует Постановление Правительства РФ от 30.05.2026 N 657. Пункт 20 Правил прямо обязывает продавца при продаже через Интернет обеспечить возможность ознакомления потребителя с офертой путем размещения ее на сайте, странице сайта или в программе для ЭВМ, если соглашением с владельцем агрегатора не предусмотрен иной порядок.</w:t>
      </w:r>
    </w:p>
    <w:p>
      <w:pPr>
        <w:pStyle w:val="Heading2"/>
      </w:pPr>
      <w:r>
        <w:t>4.3. Интернет-магазин с 1 сентября 2026 года</w:t>
      </w:r>
    </w:p>
    <w:p>
      <w:r>
        <w:t>По Правилам, утвержденным Постановлением N 657, при дистанционной продаже продавец обязан, в частности:</w:t>
      </w:r>
    </w:p>
    <w:p>
      <w:pPr>
        <w:pStyle w:val="ListBullet"/>
        <w:spacing w:after="50"/>
      </w:pPr>
      <w:r>
        <w:t>обеспечить доступ потребителя к оферте;</w:t>
      </w:r>
    </w:p>
    <w:p>
      <w:pPr>
        <w:pStyle w:val="ListBullet"/>
        <w:spacing w:after="50"/>
      </w:pPr>
      <w:r>
        <w:t>предоставить полную и достоверную информацию, характеризующую товар;</w:t>
      </w:r>
    </w:p>
    <w:p>
      <w:pPr>
        <w:pStyle w:val="ListBullet"/>
        <w:spacing w:after="50"/>
      </w:pPr>
      <w:r>
        <w:t>разместить обязательные сведения о продавце в порядке, установленном пунктом 22 Правил;</w:t>
      </w:r>
    </w:p>
    <w:p>
      <w:pPr>
        <w:pStyle w:val="ListBullet"/>
        <w:spacing w:after="50"/>
      </w:pPr>
      <w:r>
        <w:t>после оформления обеспечить предусмотренное правилами подтверждение заключения договора и идентификацию заказа;</w:t>
      </w:r>
    </w:p>
    <w:p>
      <w:pPr>
        <w:pStyle w:val="ListBullet"/>
        <w:spacing w:after="50"/>
      </w:pPr>
      <w:r>
        <w:t>довести информацию о форме и способах направления претензий;</w:t>
      </w:r>
    </w:p>
    <w:p>
      <w:pPr>
        <w:pStyle w:val="ListBullet"/>
        <w:spacing w:after="50"/>
      </w:pPr>
      <w:r>
        <w:t>соблюдать требования Закона N 2300-1 о дистанционной продаже, возврате и защите прав потребителя.</w:t>
      </w:r>
    </w:p>
    <w:p>
      <w:r>
        <w:t>Для юридического лица пункт 22 Правил предусматривает, в частности, полное фирменное наименование, ОГРН, адрес и место нахождения, а также электронную почту и (или) телефон; для индивидуального предпринимателя - фамилию, имя, отчество, ОГРНИП, электронную почту и (или) телефон.</w:t>
      </w:r>
    </w:p>
    <w:p>
      <w:r>
        <w:t>Пункт 24 Правил требует довести до потребителя информацию о форме и способах направления претензий. Для юридического лица указываются в том числе адрес и место нахождения, для юридического лица и ИП - электронная почта в предусмотренном правилами порядке.</w:t>
      </w:r>
    </w:p>
    <w:p>
      <w:pPr>
        <w:pStyle w:val="Heading2"/>
      </w:pPr>
      <w:r>
        <w:t>4.4. Каталог без корзины и оплаты</w:t>
      </w:r>
    </w:p>
    <w:p>
      <w:r>
        <w:t>Сайт-каталог, на котором размещены товары, может создавать юридические последствия даже без кнопки оплаты. В розничной торговле действует статья 494 ГК РФ о публичной оферте товара в рекламе, каталогах и описаниях при наличии предусмотренных законом признаков. Поэтому формулировки «не является публичной офертой» сами по себе не всегда способны изменить юридическую квалификацию фактического предложения.</w:t>
      </w:r>
    </w:p>
    <w:p>
      <w:pPr>
        <w:pStyle w:val="Heading2"/>
      </w:pPr>
      <w:r>
        <w:t>4.5. Пользовательское соглашение</w:t>
      </w:r>
    </w:p>
    <w:p>
      <w:r>
        <w:t>Отдельное пользовательское соглашение не является универсально обязательным документом для любого сайта. Оно становится практически необходимым, когда нужно установить правила использования аккаунта, сервиса, пользовательского контента, подписки, функционала, интеллектуальной собственности, ограничений поведения и ответственности сторон. Если через соглашение заключается договор, его содержание должно соответствовать применимым нормам ГК РФ и специального законодательства.</w:t>
      </w:r>
    </w:p>
    <w:p>
      <w:pPr>
        <w:pStyle w:val="Heading1"/>
      </w:pPr>
      <w:r>
        <w:t>5. Онлайн-оплата и кассовая техника</w:t>
      </w:r>
    </w:p>
    <w:p>
      <w:r>
        <w:t>При расчетах с физическими лицами через Интернет по общему правилу применяется Федеральный закон от 22.05.2003 N 54-ФЗ «О применении контрольно-кассовой техники при осуществлении расчетов в Российской Федерации», если конкретный расчет не подпадает под установленное законом исключение.</w:t>
      </w:r>
    </w:p>
    <w:p>
      <w:r>
        <w:t>Пункт 5 статьи 1.2 Закона N 54-ФЗ предусматривает обязанность при безналичных расчетах в сети Интернет обеспечить передачу покупателю или клиенту кассового чека либо бланка строгой отчетности в электронной форме на указанный до расчета номер телефона или адрес электронной почты.</w:t>
      </w:r>
    </w:p>
    <w:p>
      <w:pPr>
        <w:pStyle w:val="LegalNote"/>
        <w:shd w:fill="EEF4F8"/>
        <w:pBdr>
          <w:left w:val="single" w:sz="18" w:space="7" w:color="2D6A8A"/>
        </w:pBdr>
      </w:pPr>
      <w:r>
        <w:rPr>
          <w:b/>
          <w:color w:val="18324B"/>
        </w:rPr>
        <w:t xml:space="preserve">Платежная форма не равна кассе. </w:t>
      </w:r>
      <w:r>
        <w:t>Подключение интернет-эквайринга, СБП или платежного агрегатора само по себе не означает автоматического исполнения обязанности продавца или исполнителя по применению ККТ. Необходимо отдельно определить, кто формирует фискальный чек и на каком законном основании.</w:t>
      </w:r>
    </w:p>
    <w:p>
      <w:pPr>
        <w:pStyle w:val="Heading1"/>
      </w:pPr>
      <w:r>
        <w:t>6. Реклама, рассылки и рекламные блоки</w:t>
      </w:r>
    </w:p>
    <w:p>
      <w:pPr>
        <w:pStyle w:val="Heading2"/>
      </w:pPr>
      <w:r>
        <w:t>6.1. Собственная информация на собственном сайте</w:t>
      </w:r>
    </w:p>
    <w:p>
      <w:r>
        <w:t>Не вся информация о собственных товарах и услугах на официальном сайте автоматически является рекламой. Юридическая квалификация зависит от содержания, способа выделения и цели сообщения. Информационные сведения о деятельности компании могут не относиться к рекламе, тогда как специально выделенное продвижение конкретного объекта или размещение рекламы третьего лица может подпадать под Закон N 38-ФЗ.</w:t>
      </w:r>
    </w:p>
    <w:p>
      <w:pPr>
        <w:pStyle w:val="Heading2"/>
      </w:pPr>
      <w:r>
        <w:t>6.2. Интернет-реклама и маркировка</w:t>
      </w:r>
    </w:p>
    <w:p>
      <w:r>
        <w:t>Если материал является интернет-рекламой, направленной на потребителей в РФ и подпадает под установленный режим учета, применяются требования статьи 18.1 Закона N 38-ФЗ. Интернет-реклама должна содержать пометку «реклама», сведения о рекламодателе либо ссылку на страницу с такой информацией и, в предусмотренных законом случаях, идентификатор рекламы, присваиваемый оператором рекламных данных, с передачей сведений в установленную систему учета.</w:t>
      </w:r>
    </w:p>
    <w:p>
      <w:pPr>
        <w:pStyle w:val="Heading2"/>
      </w:pPr>
      <w:r>
        <w:t>6.3. Рекламная рассылка</w:t>
      </w:r>
    </w:p>
    <w:p>
      <w:r>
        <w:t>Для email, SMS, мессенджеров и рекламных звонков необходимо отделять сервисные сообщения, связанные с исполнением заказа или договора, от рекламных сообщений. Если сообщение имеет рекламный характер, требуется предварительное согласие адресата по статье 18 Закона N 38-ФЗ.</w:t>
      </w:r>
    </w:p>
    <w:p>
      <w:pPr>
        <w:pStyle w:val="Heading2"/>
      </w:pPr>
      <w:r>
        <w:t>6.4. Сайты, зарабатывающие на рекламе</w:t>
      </w:r>
    </w:p>
    <w:p>
      <w:r>
        <w:t>Если владелец сайта выступает рекламораспространителем, оператором рекламной системы или иным участником рынка интернет-рекламы, необходимо дополнительно проверять обязанности по статье 18.1, а также применимость статьи 18.2 Закона N 38-ФЗ о обязательных отчислениях от доходов, полученных от распространения интернет-рекламы. Для обычного сайта компании, который не продает рекламные размещения, этот режим автоматически не возникает.</w:t>
      </w:r>
    </w:p>
    <w:p>
      <w:pPr>
        <w:pStyle w:val="Heading1"/>
      </w:pPr>
      <w:r>
        <w:t>7. Доменное имя: правила с 1 сентября 2026 года</w:t>
      </w:r>
    </w:p>
    <w:p>
      <w:pPr>
        <w:pStyle w:val="Heading2"/>
      </w:pPr>
      <w:r>
        <w:t>7.1. Российская национальная доменная зона</w:t>
      </w:r>
    </w:p>
    <w:p>
      <w:r>
        <w:t>Приказ Роскомнадзора от 29.07.2019 N 216 относит к российской национальной доменной зоне домены верхнего уровня .RU, .РФ, .SU, а также иные домены верхнего уровня, управление которыми осуществляется российскими юридическими лицами - владельцами соответствующих баз данных в международных организациях распределения сетевых адресов и доменных имен.</w:t>
      </w:r>
    </w:p>
    <w:p>
      <w:pPr>
        <w:pStyle w:val="Heading2"/>
      </w:pPr>
      <w:r>
        <w:t>7.2. Идентификация через ЕСИА</w:t>
      </w:r>
    </w:p>
    <w:p>
      <w:r>
        <w:t>С 1 сентября 2026 года вступают в силу изменения Федерального закона N 149-ФЗ, внесенные Федеральным законом от 29.12.2025 N 569-ФЗ. Закон вводит новый порядок регистрации доменных имен российской национальной доменной зоны и идентификацию лица, на которое регистрируется доменное имя, через Единую систему идентификации и аутентификации (ЕСИА).</w:t>
      </w:r>
    </w:p>
    <w:p>
      <w:r>
        <w:t>Координационный центр национального домена разъясняет, что после 1 сентября 2026 года идентификация через ЕСИА требуется для значимых операций с доменом, включая регистрацию, продление, смену администратора или регистратора и делегирование. При отсутствии идентификации продление регистрации доменного имени становится невозможным.</w:t>
      </w:r>
    </w:p>
    <w:p>
      <w:pPr>
        <w:pStyle w:val="LegalNote"/>
        <w:shd w:fill="EEF4F8"/>
        <w:pBdr>
          <w:left w:val="single" w:sz="18" w:space="7" w:color="2D6A8A"/>
        </w:pBdr>
      </w:pPr>
      <w:r>
        <w:rPr>
          <w:b/>
          <w:color w:val="18324B"/>
        </w:rPr>
        <w:t xml:space="preserve">Практическое действие. </w:t>
      </w:r>
      <w:r>
        <w:t>Администратору домена .RU, .РФ или .SU следует проверить актуальность данных у регистратора и пройти идентификацию через ЕСИА до ближайшей операции с доменом. Для юридического лица необходимо также проверить учетную запись организации и полномочия сотрудника, работающего с доменом.</w:t>
      </w:r>
    </w:p>
    <w:p>
      <w:pPr>
        <w:pStyle w:val="Heading2"/>
      </w:pPr>
      <w:r>
        <w:t>7.3. Обязан ли российский бизнес иметь домен .RU или .РФ</w:t>
      </w:r>
    </w:p>
    <w:p>
      <w:r>
        <w:t>Общего требования, обязывающего российское юридическое лицо или ИП вести коммерческий сайт исключительно в зоне .RU или .РФ, нет. Использование .COM, .PRO и иных доменных зон допускается при соблюдении правил соответствующего реестра и применимого российского законодательства. Требования к доменной зоне нельзя смешивать с требованиями к локализации персональных данных.</w:t>
      </w:r>
    </w:p>
    <w:p>
      <w:pPr>
        <w:pStyle w:val="Heading2"/>
      </w:pPr>
      <w:r>
        <w:t>7.4. На кого должен быть зарегистрирован домен</w:t>
      </w:r>
    </w:p>
    <w:p>
      <w:r>
        <w:t>Закон не устанавливает универсального правила, согласно которому любой коммерческий домен обязательно должен быть оформлен именно на юридическое лицо или ИП, ведущее бизнес. Однако регистрация ключевого корпоративного домена на сотрудника, подрядчика или бывшего разработчика создает существенный имущественный и операционный риск. Для корпоративного проекта рекомендуется оформлять права администратора домена на лицо, которое должно контролировать ресурс юридически, и закреплять доступы и обязанности договором.</w:t>
      </w:r>
    </w:p>
    <w:p>
      <w:pPr>
        <w:pStyle w:val="Heading1"/>
      </w:pPr>
      <w:r>
        <w:t>8. Авторизация, личные кабинеты и российские способы входа</w:t>
      </w:r>
    </w:p>
    <w:p>
      <w:r>
        <w:t>Если российское юридическое лицо или гражданин РФ, осуществляющие деятельность в Интернете на территории РФ, предоставляют пользователям, находящимся в России, доступ к информации после авторизации, применяется часть 10 статьи 8 Закона N 149-ФЗ.</w:t>
      </w:r>
    </w:p>
    <w:p>
      <w:r>
        <w:t>Авторизация таких пользователей должна осуществляться одним из предусмотренных законом способов:</w:t>
      </w:r>
    </w:p>
    <w:p>
      <w:pPr>
        <w:pStyle w:val="ListBullet"/>
        <w:spacing w:after="50"/>
      </w:pPr>
      <w:r>
        <w:t>с использованием абонентского номера оператора подвижной радиотелефонной связи;</w:t>
      </w:r>
    </w:p>
    <w:p>
      <w:pPr>
        <w:pStyle w:val="ListBullet"/>
        <w:spacing w:after="50"/>
      </w:pPr>
      <w:r>
        <w:t>через ЕСИА;</w:t>
      </w:r>
    </w:p>
    <w:p>
      <w:pPr>
        <w:pStyle w:val="ListBullet"/>
        <w:spacing w:after="50"/>
      </w:pPr>
      <w:r>
        <w:t>с использованием предусмотренной законом государственной системы биометрической идентификации и аутентификации;</w:t>
      </w:r>
    </w:p>
    <w:p>
      <w:pPr>
        <w:pStyle w:val="ListBullet"/>
        <w:spacing w:after="50"/>
      </w:pPr>
      <w:r>
        <w:t>с использованием иной информационной системы, соответствующей требованиям статьи 16 Закона N 149-ФЗ и принадлежащей российскому гражданину без иностранного гражданства либо российскому юридическому лицу под предусмотренным законом контролем.</w:t>
      </w:r>
    </w:p>
    <w:p>
      <w:r>
        <w:t>Иностранный OAuth-провайдер не следует использовать как единственный способ авторизации российских пользователей, если он не соответствует одному из предусмотренных законом способов.</w:t>
      </w:r>
    </w:p>
    <w:p>
      <w:pPr>
        <w:pStyle w:val="LegalNote"/>
        <w:shd w:fill="EEF4F8"/>
        <w:pBdr>
          <w:left w:val="single" w:sz="18" w:space="7" w:color="2D6A8A"/>
        </w:pBdr>
      </w:pPr>
      <w:r>
        <w:rPr>
          <w:b/>
          <w:color w:val="18324B"/>
        </w:rPr>
        <w:t xml:space="preserve">Ответственность усилена. </w:t>
      </w:r>
      <w:r>
        <w:t>С июля 2026 года за неисполнение обязанности по предусмотренным законом способам авторизации введены отдельные административные штрафы; для юридических лиц размер первичного штрафа составляет 500 000-700 000 рублей.</w:t>
      </w:r>
    </w:p>
    <w:p>
      <w:pPr>
        <w:pStyle w:val="Heading1"/>
      </w:pPr>
      <w:r>
        <w:t>9. Рекомендательные технологии</w:t>
      </w:r>
    </w:p>
    <w:p>
      <w:r>
        <w:t>Если сайт или приложение предоставляет информацию на основе сбора, систематизации и анализа сведений о предпочтениях пользователей в РФ, применяется статья 10.2-2 Закона N 149-ФЗ. Это может относиться не только к крупным социальным сетям, но и к интернет-магазинам, видеосервисам, новостным и контентным площадкам, если они используют персонализированные рекомендации в смысле закона.</w:t>
      </w:r>
    </w:p>
    <w:p>
      <w:r>
        <w:t>Владелец такого ресурса обязан:</w:t>
      </w:r>
    </w:p>
    <w:p>
      <w:pPr>
        <w:pStyle w:val="ListBullet"/>
        <w:spacing w:after="50"/>
      </w:pPr>
      <w:r>
        <w:t>информировать пользователей о применении рекомендательных технологий;</w:t>
      </w:r>
    </w:p>
    <w:p>
      <w:pPr>
        <w:pStyle w:val="ListBullet"/>
        <w:spacing w:after="50"/>
      </w:pPr>
      <w:r>
        <w:t>разместить документ «Правила применения рекомендательных технологий»;</w:t>
      </w:r>
    </w:p>
    <w:p>
      <w:pPr>
        <w:pStyle w:val="ListBullet"/>
        <w:spacing w:after="50"/>
      </w:pPr>
      <w:r>
        <w:t>описать в правилах процессы и методы сбора, систематизации и анализа сведений о предпочтениях, а также предоставления информации на их основе;</w:t>
      </w:r>
    </w:p>
    <w:p>
      <w:pPr>
        <w:pStyle w:val="ListBullet"/>
        <w:spacing w:after="50"/>
      </w:pPr>
      <w:r>
        <w:t>указать виды используемых сведений о предпочтениях и источники их получения;</w:t>
      </w:r>
    </w:p>
    <w:p>
      <w:pPr>
        <w:pStyle w:val="ListBullet"/>
        <w:spacing w:after="50"/>
      </w:pPr>
      <w:r>
        <w:t>разместить правила на русском языке и обеспечить свободный безвозмездный доступ;</w:t>
      </w:r>
    </w:p>
    <w:p>
      <w:pPr>
        <w:pStyle w:val="ListBullet"/>
        <w:spacing w:after="50"/>
      </w:pPr>
      <w:r>
        <w:t>разместить электронную почту для юридически значимых сообщений и сведения о владельце в объеме, предусмотренном законом.</w:t>
      </w:r>
    </w:p>
    <w:p>
      <w:r>
        <w:t>Статья 13.56 КоАП РФ, введенная в 2026 году, предусматривает для юридических лиц штраф 500 000-700 000 рублей, в том числе за отсутствие информирования о рекомендательных технологиях или обязательных правил; за повторные нарушения штраф увеличивается.</w:t>
      </w:r>
    </w:p>
    <w:p>
      <w:pPr>
        <w:pStyle w:val="Heading1"/>
      </w:pPr>
      <w:r>
        <w:t>10. Пользовательский контент, сообщения и специальные интернет-режимы</w:t>
      </w:r>
    </w:p>
    <w:p>
      <w:pPr>
        <w:pStyle w:val="Heading2"/>
      </w:pPr>
      <w:r>
        <w:t>10.1. Организатор распространения информации в сети Интернет</w:t>
      </w:r>
    </w:p>
    <w:p>
      <w:r>
        <w:t>Если информационная система или программа предназначена или используется для приема, передачи, доставки и (или) обработки электронных сообщений пользователей, владелец может подпадать под режим организатора распространения информации (ОРИ) по статье 10.1 Закона N 149-ФЗ.</w:t>
      </w:r>
    </w:p>
    <w:p>
      <w:r>
        <w:t>ОРИ обязан уведомлять Роскомнадзор о начале соответствующей деятельности и выполнять специальные требования, включая предусмотренное законом хранение на территории РФ информации о фактах обмена сообщениями и пользователях в течение трех лет, а содержания электронных сообщений - в установленном Правительством объеме и сроке до шести месяцев, а также требования взаимодействия с уполномоченными органами.</w:t>
      </w:r>
    </w:p>
    <w:p>
      <w:r>
        <w:t>Наличие обычной формы обратной связи само по себе не должно механически приравниваться к полноценному сервису обмена пользовательскими сообщениями. Но внутренний мессенджер, чат между пользователями, сервис личных сообщений и аналогичная функциональность требуют отдельной проверки на режим ОРИ.</w:t>
      </w:r>
    </w:p>
    <w:p>
      <w:pPr>
        <w:pStyle w:val="Heading2"/>
      </w:pPr>
      <w:r>
        <w:t>10.2. Социальная сеть</w:t>
      </w:r>
    </w:p>
    <w:p>
      <w:r>
        <w:t>Специальный режим статьи 10.6 Закона N 149-ФЗ применяется к ресурсу, соответствующему установленным законом признакам социальной сети, если доступ к нему в течение суток составляет более 500 000 пользователей из РФ. Для такого владельца предусмотрены обязанности по правилам использования, модерации, взаимодействию с Роскомнадзором и ограничению противоправного контента.</w:t>
      </w:r>
    </w:p>
    <w:p>
      <w:pPr>
        <w:pStyle w:val="Heading2"/>
      </w:pPr>
      <w:r>
        <w:t>10.3. Сервис размещения объявлений</w:t>
      </w:r>
    </w:p>
    <w:p>
      <w:r>
        <w:t>Статья 10.7 Закона N 149-ФЗ устанавливает специальный режим для сервисов, где пользователи самостоятельно размещают тематически сгруппированные объявления о продаже, аренде, работах, услугах, вакансиях и т.п., если суточная российская аудитория превышает 100 000 пользователей. Для такого сервиса действуют дополнительные требования к владельцу, идентификации, взаимодействию с государственными системами и соблюдению российского законодательства.</w:t>
      </w:r>
    </w:p>
    <w:p>
      <w:pPr>
        <w:pStyle w:val="Heading2"/>
      </w:pPr>
      <w:r>
        <w:t>10.4. Новостной агрегатор</w:t>
      </w:r>
    </w:p>
    <w:p>
      <w:r>
        <w:t>Статья 10.4 Закона N 149-ФЗ устанавливает специальный режим для новостных агрегаторов с суточной аудиторией более 1 000 000 пользователей из РФ при наличии других признаков, указанных в законе. Такие ресурсы подлежат включению в соответствующий реестр и несут специальные обязанности по распространению информации.</w:t>
      </w:r>
    </w:p>
    <w:p>
      <w:pPr>
        <w:pStyle w:val="Heading2"/>
      </w:pPr>
      <w:r>
        <w:t>10.5. Аудиовизуальный сервис</w:t>
      </w:r>
    </w:p>
    <w:p>
      <w:r>
        <w:t>Статья 10.5 Закона N 149-ФЗ применяется к сервисам, формирующим или организующим распространение совокупности аудиовизуальных произведений за плату и (или) при условии просмотра рекламы, если суточный доступ превышает 100 000 пользователей из РФ. Для таких сервисов действует отдельный реестровый и регуляторный режим.</w:t>
      </w:r>
    </w:p>
    <w:p>
      <w:pPr>
        <w:pStyle w:val="Heading2"/>
      </w:pPr>
      <w:r>
        <w:t>10.6. СМИ и сетевое издание</w:t>
      </w:r>
    </w:p>
    <w:p>
      <w:r>
        <w:t>Обычный сайт, блог или новостной проект не становится зарегистрированным СМИ автоматически. В силу статьи 8 Закона РФ от 27.12.1991 N 2124-1 «О средствах массовой информации» сайт может быть зарегистрирован как сетевое издание. После регистрации на него распространяются специальные обязанности редакции и иные требования законодательства о СМИ.</w:t>
      </w:r>
    </w:p>
    <w:p>
      <w:pPr>
        <w:pStyle w:val="Heading1"/>
      </w:pPr>
      <w:r>
        <w:t>11. Требования по типам сайтов</w:t>
      </w:r>
    </w:p>
    <w:p>
      <w:pPr>
        <w:pStyle w:val="LegalNote"/>
        <w:shd w:fill="EEF4F8"/>
        <w:pBdr>
          <w:left w:val="single" w:sz="18" w:space="7" w:color="2D6A8A"/>
        </w:pBdr>
      </w:pPr>
      <w:r>
        <w:rPr>
          <w:b/>
          <w:color w:val="18324B"/>
        </w:rPr>
        <w:t xml:space="preserve">Как читать этот раздел. </w:t>
      </w:r>
      <w:r>
        <w:t>Ниже указан минимальный юридический пакет для типовой конфигурации. Любая дополнительная функция автоматически добавляет требования из соответствующих предыдущих разделов.</w:t>
      </w:r>
    </w:p>
    <w:p>
      <w:pPr>
        <w:pStyle w:val="Heading2"/>
      </w:pPr>
      <w:r>
        <w:t>11.1. Сайт-визитка без форм, регистрации и оплаты</w:t>
      </w:r>
    </w:p>
    <w:p>
      <w:r>
        <w:t>Типовая функция: информация о компании, услугах, адресе и контактах; пользователь не передает данные через интерфейс сайта.</w:t>
      </w:r>
    </w:p>
    <w:p>
      <w:r>
        <w:t>Минимально проверить и разместить:</w:t>
      </w:r>
    </w:p>
    <w:p>
      <w:pPr>
        <w:pStyle w:val="ListBullet"/>
        <w:spacing w:after="50"/>
      </w:pPr>
      <w:r>
        <w:t>сведения о владельце сайта по статье 10 Закона N 149-ФЗ;</w:t>
      </w:r>
    </w:p>
    <w:p>
      <w:pPr>
        <w:pStyle w:val="ListBullet"/>
        <w:spacing w:after="50"/>
      </w:pPr>
      <w:r>
        <w:t>для B2C - сведения об исполнителе/продавце и необходимая информация по статьям 8-10 Закона N 2300-1;</w:t>
      </w:r>
    </w:p>
    <w:p>
      <w:pPr>
        <w:pStyle w:val="ListBullet"/>
        <w:spacing w:after="50"/>
      </w:pPr>
      <w:r>
        <w:t>русский язык обязательной потребительской информации;</w:t>
      </w:r>
    </w:p>
    <w:p>
      <w:pPr>
        <w:pStyle w:val="ListBullet"/>
        <w:spacing w:after="50"/>
      </w:pPr>
      <w:r>
        <w:t>законность прав на тексты, фото, видео, шрифты и иные материалы;</w:t>
      </w:r>
    </w:p>
    <w:p>
      <w:pPr>
        <w:pStyle w:val="ListBullet"/>
        <w:spacing w:after="50"/>
      </w:pPr>
      <w:r>
        <w:t>правовой статус домена и отсутствие конфликтов с товарными знаками.</w:t>
      </w:r>
    </w:p>
    <w:p>
      <w:r>
        <w:t>Если подключены аналитика, рекламные пиксели, чат, виджеты обратного звонка или иные технологии обработки данных, сайт перестает быть «без обработки» и необходимо применять раздел о персональных данных.</w:t>
      </w:r>
    </w:p>
    <w:p>
      <w:pPr>
        <w:pStyle w:val="Heading2"/>
      </w:pPr>
      <w:r>
        <w:t>11.2. Лендинг / одностраничник с формой заявки</w:t>
      </w:r>
    </w:p>
    <w:p>
      <w:r>
        <w:t>Типовая функция: привлечение клиента и сбор имени, телефона, email или иных данных.</w:t>
      </w:r>
    </w:p>
    <w:p>
      <w:r>
        <w:t>Минимальный пакет:</w:t>
      </w:r>
    </w:p>
    <w:p>
      <w:pPr>
        <w:pStyle w:val="ListBullet"/>
        <w:spacing w:after="50"/>
      </w:pPr>
      <w:r>
        <w:t>все требования сайта-визитки;</w:t>
      </w:r>
    </w:p>
    <w:p>
      <w:pPr>
        <w:pStyle w:val="ListBullet"/>
        <w:spacing w:after="50"/>
      </w:pPr>
      <w:r>
        <w:t>Политика в отношении обработки персональных данных;</w:t>
      </w:r>
    </w:p>
    <w:p>
      <w:pPr>
        <w:pStyle w:val="ListBullet"/>
        <w:spacing w:after="50"/>
      </w:pPr>
      <w:r>
        <w:t>определенное и документированное правовое основание обработки каждой формы;</w:t>
      </w:r>
    </w:p>
    <w:p>
      <w:pPr>
        <w:pStyle w:val="ListBullet"/>
        <w:spacing w:after="50"/>
      </w:pPr>
      <w:r>
        <w:t>если используется согласие - отдельное согласие по статье 9 Закона N 152-ФЗ;</w:t>
      </w:r>
    </w:p>
    <w:p>
      <w:pPr>
        <w:pStyle w:val="ListBullet"/>
        <w:spacing w:after="50"/>
      </w:pPr>
      <w:r>
        <w:t>ссылка на политику непосредственно у формы или иная реально доступная связь со страницей сбора;</w:t>
      </w:r>
    </w:p>
    <w:p>
      <w:pPr>
        <w:pStyle w:val="ListBullet"/>
        <w:spacing w:after="50"/>
      </w:pPr>
      <w:r>
        <w:t>уведомление Роскомнадзора по статье 22 Закона N 152-ФЗ, если отсутствует специальное исключение;</w:t>
      </w:r>
    </w:p>
    <w:p>
      <w:pPr>
        <w:pStyle w:val="ListBullet"/>
        <w:spacing w:after="50"/>
      </w:pPr>
      <w:r>
        <w:t>российская локализация баз персональных данных граждан РФ;</w:t>
      </w:r>
    </w:p>
    <w:p>
      <w:pPr>
        <w:pStyle w:val="ListBullet"/>
        <w:spacing w:after="50"/>
      </w:pPr>
      <w:r>
        <w:t>отдельное предварительное согласие, если контакт будет использоваться для рекламы.</w:t>
      </w:r>
    </w:p>
    <w:p>
      <w:r>
        <w:t>Публичная оферта и пользовательское соглашение не становятся обязательными только из-за наличия формы заявки, если договор на сайте не заключается.</w:t>
      </w:r>
    </w:p>
    <w:p>
      <w:pPr>
        <w:pStyle w:val="Heading2"/>
      </w:pPr>
      <w:r>
        <w:t>11.3. Корпоративный многостраничный сайт</w:t>
      </w:r>
    </w:p>
    <w:p>
      <w:r>
        <w:t>Типовая функция: информация о компании, продуктах, вакансиях, контактах, кейсах, блог, несколько форм.</w:t>
      </w:r>
    </w:p>
    <w:p>
      <w:r>
        <w:t>Минимальный пакет формируется из требований сайта-визитки и лендинга. Дополнительно проверяются: формы вакансий и загрузки резюме; пользовательские файлы; интеграции с CRM; карты и внешние виджеты; формы подписки; аналитические и рекламные системы; публикация отзывов и фотографий физических лиц; лицензии и отраслевые сведения.</w:t>
      </w:r>
    </w:p>
    <w:p>
      <w:pPr>
        <w:pStyle w:val="Heading2"/>
      </w:pPr>
      <w:r>
        <w:t>11.4. Каталог / витрина товаров без онлайн-заказа</w:t>
      </w:r>
    </w:p>
    <w:p>
      <w:r>
        <w:t>Если пользователь только изучает ассортимент и далее связывается с продавцом вне сайта, применяются требования к информации о продавце и товарах. При этом необходимо оценить, не является ли конкретное размещение публичной офертой по правилам ГК РФ. Если появляется оформление заказа дистанционным способом, ресурс необходимо проверять уже как интернет-магазин.</w:t>
      </w:r>
    </w:p>
    <w:p>
      <w:pPr>
        <w:pStyle w:val="Heading2"/>
      </w:pPr>
      <w:r>
        <w:t>11.5. Сайт услуг с онлайн-записью или бронированием</w:t>
      </w:r>
    </w:p>
    <w:p>
      <w:r>
        <w:t>Если сайт фиксирует время, состав услуги, цену, предоплату или иным образом заключает договор дистанционно, дополнительно требуются корректные договорные условия/оферта, информация об исполнителе и услуге, правила отмены/возврата в пределах законодательства, персональные данные и, при оплате, ККТ. Для отдельных отраслей действуют специальные правила оказания услуг.</w:t>
      </w:r>
    </w:p>
    <w:p>
      <w:pPr>
        <w:pStyle w:val="Heading2"/>
      </w:pPr>
      <w:r>
        <w:t>11.6. Интернет-магазин B2C</w:t>
      </w:r>
    </w:p>
    <w:p>
      <w:r>
        <w:t>С 1 сентября 2026 года минимальный комплект интернет-магазина включает:</w:t>
      </w:r>
    </w:p>
    <w:p>
      <w:pPr>
        <w:pStyle w:val="ListBullet"/>
        <w:spacing w:after="50"/>
      </w:pPr>
      <w:r>
        <w:t>полные сведения о продавце;</w:t>
      </w:r>
    </w:p>
    <w:p>
      <w:pPr>
        <w:pStyle w:val="ListBullet"/>
        <w:spacing w:after="50"/>
      </w:pPr>
      <w:r>
        <w:t>доступную оферту по Правилам, утвержденным Постановлением N 657;</w:t>
      </w:r>
    </w:p>
    <w:p>
      <w:pPr>
        <w:pStyle w:val="ListBullet"/>
        <w:spacing w:after="50"/>
      </w:pPr>
      <w:r>
        <w:t>полную и достоверную информацию о товарах;</w:t>
      </w:r>
    </w:p>
    <w:p>
      <w:pPr>
        <w:pStyle w:val="ListBullet"/>
        <w:spacing w:after="50"/>
      </w:pPr>
      <w:r>
        <w:t>условия заказа, оплаты, доставки и передачи товара;</w:t>
      </w:r>
    </w:p>
    <w:p>
      <w:pPr>
        <w:pStyle w:val="ListBullet"/>
        <w:spacing w:after="50"/>
      </w:pPr>
      <w:r>
        <w:t>информацию о порядке и способах направления претензий;</w:t>
      </w:r>
    </w:p>
    <w:p>
      <w:pPr>
        <w:pStyle w:val="ListBullet"/>
        <w:spacing w:after="50"/>
      </w:pPr>
      <w:r>
        <w:t>правила/условия возврата и обмена, сформулированные без ограничения законных прав потребителя;</w:t>
      </w:r>
    </w:p>
    <w:p>
      <w:pPr>
        <w:pStyle w:val="ListBullet"/>
        <w:spacing w:after="50"/>
      </w:pPr>
      <w:r>
        <w:t>Политику в отношении обработки персональных данных и законные основания всех процессов обработки;</w:t>
      </w:r>
    </w:p>
    <w:p>
      <w:pPr>
        <w:pStyle w:val="ListBullet"/>
        <w:spacing w:after="50"/>
      </w:pPr>
      <w:r>
        <w:t>уведомление Роскомнадзора и локализацию баз;</w:t>
      </w:r>
    </w:p>
    <w:p>
      <w:pPr>
        <w:pStyle w:val="ListBullet"/>
        <w:spacing w:after="50"/>
      </w:pPr>
      <w:r>
        <w:t>отдельное согласие на рекламу, если осуществляется рекламная коммуникация;</w:t>
      </w:r>
    </w:p>
    <w:p>
      <w:pPr>
        <w:pStyle w:val="ListBullet"/>
        <w:spacing w:after="50"/>
      </w:pPr>
      <w:r>
        <w:t>корректную ККТ и передачу электронного чека при интернет-расчетах, если применяется 54-ФЗ;</w:t>
      </w:r>
    </w:p>
    <w:p>
      <w:pPr>
        <w:pStyle w:val="ListBullet"/>
        <w:spacing w:after="50"/>
      </w:pPr>
      <w:r>
        <w:t>контроль отсутствия заранее выбранных дополнительных платных услуг;</w:t>
      </w:r>
    </w:p>
    <w:p>
      <w:pPr>
        <w:pStyle w:val="ListBullet"/>
        <w:spacing w:after="50"/>
      </w:pPr>
      <w:r>
        <w:t>при персонализированных рекомендациях - уведомление и Правила применения рекомендательных технологий;</w:t>
      </w:r>
    </w:p>
    <w:p>
      <w:pPr>
        <w:pStyle w:val="ListBullet"/>
        <w:spacing w:after="50"/>
      </w:pPr>
      <w:r>
        <w:t>при личном кабинете - соблюдение требований к способам авторизации.</w:t>
      </w:r>
    </w:p>
    <w:p>
      <w:pPr>
        <w:pStyle w:val="Heading2"/>
      </w:pPr>
      <w:r>
        <w:t>11.7. B2B-сайт и оптовая торговля</w:t>
      </w:r>
    </w:p>
    <w:p>
      <w:r>
        <w:t>Если сайт ориентирован исключительно на юридических лиц и ИП, Закон N 2300-1 о защите прав потребителей в обычной B2B-сделке не применяется. Однако сохраняются требования Закона N 149-ФЗ, ГК РФ, законодательства о персональных данных применительно к данным представителей и сотрудников контрагентов, рекламы, интеллектуальной собственности и иные применимые нормы.</w:t>
      </w:r>
    </w:p>
    <w:p>
      <w:r>
        <w:t>Если тем же сайтом фактически могут пользоваться физические лица как потребители, нельзя исключить потребительское законодательство одной надписью «только для юридических лиц», если фактическая модель продаж иная.</w:t>
      </w:r>
    </w:p>
    <w:p>
      <w:pPr>
        <w:pStyle w:val="Heading2"/>
      </w:pPr>
      <w:r>
        <w:t>11.8. SaaS / веб-сервис / подписочный онлайн-продукт</w:t>
      </w:r>
    </w:p>
    <w:p>
      <w:r>
        <w:t>Обычно требуются:</w:t>
      </w:r>
    </w:p>
    <w:p>
      <w:pPr>
        <w:pStyle w:val="ListBullet"/>
        <w:spacing w:after="50"/>
      </w:pPr>
      <w:r>
        <w:t>пользовательское соглашение или оферта с описанием функционала, тарифа, срока, оплаты, прекращения и лицензии;</w:t>
      </w:r>
    </w:p>
    <w:p>
      <w:pPr>
        <w:pStyle w:val="ListBullet"/>
        <w:spacing w:after="50"/>
      </w:pPr>
      <w:r>
        <w:t>Политика в отношении обработки персональных данных;</w:t>
      </w:r>
    </w:p>
    <w:p>
      <w:pPr>
        <w:pStyle w:val="ListBullet"/>
        <w:spacing w:after="50"/>
      </w:pPr>
      <w:r>
        <w:t>законные основания обработки и необходимые согласия;</w:t>
      </w:r>
    </w:p>
    <w:p>
      <w:pPr>
        <w:pStyle w:val="ListBullet"/>
        <w:spacing w:after="50"/>
      </w:pPr>
      <w:r>
        <w:t>уведомление Роскомнадзора и локализация;</w:t>
      </w:r>
    </w:p>
    <w:p>
      <w:pPr>
        <w:pStyle w:val="ListBullet"/>
        <w:spacing w:after="50"/>
      </w:pPr>
      <w:r>
        <w:t>требования к российским способам авторизации, если применяется часть 10 статьи 8 Закона N 149-ФЗ;</w:t>
      </w:r>
    </w:p>
    <w:p>
      <w:pPr>
        <w:pStyle w:val="ListBullet"/>
        <w:spacing w:after="50"/>
      </w:pPr>
      <w:r>
        <w:t>ККТ при расчетах с физическими лицами, если нет исключения;</w:t>
      </w:r>
    </w:p>
    <w:p>
      <w:pPr>
        <w:pStyle w:val="ListBullet"/>
        <w:spacing w:after="50"/>
      </w:pPr>
      <w:r>
        <w:t>правила автоматического продления и списаний, не ущемляющие права потребителя;</w:t>
      </w:r>
    </w:p>
    <w:p>
      <w:pPr>
        <w:pStyle w:val="ListBullet"/>
        <w:spacing w:after="50"/>
      </w:pPr>
      <w:r>
        <w:t>при рекомендательных алгоритмах - отдельные Правила применения рекомендательных технологий;</w:t>
      </w:r>
    </w:p>
    <w:p>
      <w:pPr>
        <w:pStyle w:val="ListBullet"/>
        <w:spacing w:after="50"/>
      </w:pPr>
      <w:r>
        <w:t>при пользовательских сообщениях - анализ режима ОРИ.</w:t>
      </w:r>
    </w:p>
    <w:p>
      <w:pPr>
        <w:pStyle w:val="Heading2"/>
      </w:pPr>
      <w:r>
        <w:t>11.9. Портал, форум, сообщество, UGC-платформа</w:t>
      </w:r>
    </w:p>
    <w:p>
      <w:r>
        <w:t>Помимо базовых документов необходимо отдельно определить юридическую модель пользовательского контента. Как правило, нужны правила использования/пользовательское соглашение с условиями публикации контента, лицензирования, модерации, удаления противоправной информации, обработки жалоб и блокировки аккаунтов. При наличии личных сообщений анализируется режим ОРИ; при достижении законных критериев социальной сети, сервиса объявлений, новостного агрегатора или аудиовизуального сервиса применяются соответствующие специальные статьи Закона N 149-ФЗ.</w:t>
      </w:r>
    </w:p>
    <w:p>
      <w:pPr>
        <w:pStyle w:val="Heading2"/>
      </w:pPr>
      <w:r>
        <w:t>11.10. Доска объявлений</w:t>
      </w:r>
    </w:p>
    <w:p>
      <w:r>
        <w:t>До достижения порога статьи 10.7 Закона N 149-ФЗ ресурс все равно обязан соблюдать общие нормы о владельце сайта, персональных данных, договорах с пользователями, рекламе и незаконном контенте. При превышении 100 000 российских пользователей в сутки и наличии иных признаков статьи 10.7 возникает специальный режим сервиса размещения объявлений.</w:t>
      </w:r>
    </w:p>
    <w:p>
      <w:pPr>
        <w:pStyle w:val="Heading2"/>
      </w:pPr>
      <w:r>
        <w:t>11.11. Агрегатор товаров или услуг / маркетплейс</w:t>
      </w:r>
    </w:p>
    <w:p>
      <w:r>
        <w:t>В сентябре 2026 года владельцу агрегатора необходимо применять Закон N 2300-1 и новые Правила продажи товаров, утвержденные Постановлением N 657, в части обязанностей владельца агрегатора и доведения сведений о себе и продавцах/исполнителях, обработки претензий и иных предусмотренных законом функций.</w:t>
      </w:r>
    </w:p>
    <w:p>
      <w:pPr>
        <w:pStyle w:val="LegalNote"/>
        <w:shd w:fill="EEF4F8"/>
        <w:pBdr>
          <w:left w:val="single" w:sz="18" w:space="7" w:color="2D6A8A"/>
        </w:pBdr>
      </w:pPr>
      <w:r>
        <w:rPr>
          <w:b/>
          <w:color w:val="18324B"/>
        </w:rPr>
        <w:t xml:space="preserve">Важная дата. </w:t>
      </w:r>
      <w:r>
        <w:t>Федеральный закон от 31.07.2025 N 289-ФЗ «Об отдельных вопросах регулирования платформенной экономики в Российской Федерации» вступает в силу 1 октября 2026 года. Поэтому памятка, используемая для маркетплейса после 30 сентября 2026 года, должна быть обновлена с учетом нового режима платформенной экономики. На 1 сентября 2026 года этот закон еще не действует.</w:t>
      </w:r>
    </w:p>
    <w:p>
      <w:pPr>
        <w:pStyle w:val="Heading2"/>
      </w:pPr>
      <w:r>
        <w:t>11.12. Блог, медиа, контентный проект</w:t>
      </w:r>
    </w:p>
    <w:p>
      <w:r>
        <w:t>Для обычного незарегистрированного блога действуют общие требования законодательства об информации, персональных данных, рекламе, авторских правах и запрещенном контенте. Регистрация как СМИ добровольна в предусмотренных законом случаях; если сайт зарегистрирован как сетевое издание, появляется специальный режим Закона N 2124-1. Если ресурс фактически становится новостным агрегатором или аудиовизуальным сервисом и достигает соответствующих порогов, применяются статьи 10.4 или 10.5 Закона N 149-ФЗ.</w:t>
      </w:r>
    </w:p>
    <w:p>
      <w:pPr>
        <w:pStyle w:val="Heading2"/>
      </w:pPr>
      <w:r>
        <w:t>11.13. Сервис с персонализированной лентой или рекомендациями</w:t>
      </w:r>
    </w:p>
    <w:p>
      <w:r>
        <w:t>Независимо от формального типа сайта при использовании рекомендательных технологий в смысле статьи 10.2-2 Закона N 149-ФЗ требуется отдельное информирование пользователей и опубликование Правил применения рекомендательных технологий. Это отдельный документ, который нельзя заменить одной фразой в Политике персональных данных.</w:t>
      </w:r>
    </w:p>
    <w:p>
      <w:pPr>
        <w:pStyle w:val="Heading1"/>
      </w:pPr>
      <w:r>
        <w:t>12. Отраслевые сайты: дополнительные обязанности</w:t>
      </w:r>
    </w:p>
    <w:p>
      <w:pPr>
        <w:pStyle w:val="Heading2"/>
      </w:pPr>
      <w:r>
        <w:t>12.1. Медицинские организации</w:t>
      </w:r>
    </w:p>
    <w:p>
      <w:r>
        <w:t>С 1 сентября 2026 года вступает в силу Постановление Правительства РФ от 30.05.2026 N 659 «Об утверждении Правил предоставления медицинскими организациями платных медицинских услуг». Правила содержат отдельный раздел об информации об исполнителе и платных медицинских услугах, а также раздел об особенностях дистанционного заключения договора.</w:t>
      </w:r>
    </w:p>
    <w:p>
      <w:r>
        <w:t>Медицинскому сайту недостаточно общего комплекта документов. Необходимо дополнительно проверить требования законодательства об охране здоровья, сведения о медицинской организации и лицензии, перечне и стоимости услуг, специалистах и иных обязательных данных, а также специальные ограничения рекламы медицинских услуг по Закону N 38-ФЗ. Данные о здоровье относятся к специальным категориям персональных данных и требуют повышенного внимания к основаниям и защите обработки.</w:t>
      </w:r>
    </w:p>
    <w:p>
      <w:pPr>
        <w:pStyle w:val="Heading2"/>
      </w:pPr>
      <w:r>
        <w:t>12.2. Образовательные организации</w:t>
      </w:r>
    </w:p>
    <w:p>
      <w:r>
        <w:t>Статья 29 Федерального закона от 29.12.2012 N 273-ФЗ «Об образовании в Российской Федерации» обязывает образовательные организации формировать открытые и общедоступные информационные ресурсы и обеспечивать доступ к ним в том числе на официальном сайте. Перечень раскрываемых сведений устанавливается законом и подзаконными актами. С 1 сентября 2026 года в статью 29 также вступают отдельные изменения.</w:t>
      </w:r>
    </w:p>
    <w:p>
      <w:r>
        <w:t>Коммерческая онлайн-школа должна сначала установить, является ли она образовательной организацией, ведет ли лицензируемую образовательную деятельность или оказывает иные информационно-консультационные услуги. От этого зависит объем обязательного раскрытия и необходимость лицензии.</w:t>
      </w:r>
    </w:p>
    <w:p>
      <w:pPr>
        <w:pStyle w:val="Heading2"/>
      </w:pPr>
      <w:r>
        <w:t>12.3. Туризм</w:t>
      </w:r>
    </w:p>
    <w:p>
      <w:r>
        <w:t>С 1 сентября 2026 года действует Постановление Правительства РФ от 13.05.2026 N 551 «Об утверждении Правил оказания услуг по реализации туристского продукта». Правила устанавливают требования к информации о туристском продукте, его цене, маршруте, размещении, перевозке, дополнительным услугам, условиям договора и предъявлению претензий. Туроператоры и турагенты должны дополнительно соблюдать Федеральный закон от 24.11.1996 N 132-ФЗ «Об основах туристской деятельности в Российской Федерации».</w:t>
      </w:r>
    </w:p>
    <w:p>
      <w:pPr>
        <w:pStyle w:val="Heading2"/>
      </w:pPr>
      <w:r>
        <w:t>12.4. Финансовые услуги</w:t>
      </w:r>
    </w:p>
    <w:p>
      <w:r>
        <w:t>Банки, микрофинансовые организации, страховщики, профессиональные участники финансового рынка, инвестиционные платформы и иные финансовые организации подчиняются специальным федеральным законам и нормативным актам Банка России о раскрытии информации, рекламе и дистанционном взаимодействии. Общий комплект из настоящей памятки для финансового сайта является только базовым слоем и не заменяет отраслевое раскрытие.</w:t>
      </w:r>
    </w:p>
    <w:p>
      <w:pPr>
        <w:pStyle w:val="Heading2"/>
      </w:pPr>
      <w:r>
        <w:t>12.5. Иные лицензируемые и регулируемые виды деятельности</w:t>
      </w:r>
    </w:p>
    <w:p>
      <w:r>
        <w:t>Если деятельность требует лицензии, членства в СРО, аккредитации, включения в реестр или иной специальной правоспособности, необходимо проверить отраслевой закон на обязательность раскрытия номера лицензии/реестровой записи, органа, выдавшего разрешение, условий оказания услуги, квалификации исполнителей и специальных предупреждений.</w:t>
      </w:r>
    </w:p>
    <w:p>
      <w:pPr>
        <w:pStyle w:val="Heading1"/>
      </w:pPr>
      <w:r>
        <w:t>13. Какие документы действительно нужны на сайте</w:t>
      </w:r>
    </w:p>
    <w:p>
      <w:pPr>
        <w:pStyle w:val="Heading2"/>
      </w:pPr>
      <w:r>
        <w:t>13.1. Универсально или почти универсально</w:t>
      </w:r>
    </w:p>
    <w:p>
      <w:pPr>
        <w:pStyle w:val="ListBullet"/>
        <w:spacing w:after="50"/>
      </w:pPr>
      <w:r>
        <w:t>Сведения о владельце сайта / правовая информация - в объеме применимых требований статьи 10 Закона N 149-ФЗ и, для B2C, Закона N 2300-1.</w:t>
      </w:r>
    </w:p>
    <w:p>
      <w:pPr>
        <w:pStyle w:val="ListBullet"/>
        <w:spacing w:after="50"/>
      </w:pPr>
      <w:r>
        <w:t>Политика в отношении обработки персональных данных - если оператор осуществляет обработку персональных данных и обязан обеспечить ее опубликование по статье 18.1 Закона N 152-ФЗ, в частности при сборе через сайт.</w:t>
      </w:r>
    </w:p>
    <w:p>
      <w:pPr>
        <w:pStyle w:val="Heading2"/>
      </w:pPr>
      <w:r>
        <w:t>13.2. Условно обязательные документы и элементы</w:t>
      </w:r>
    </w:p>
    <w:p>
      <w:pPr>
        <w:pStyle w:val="ListBullet"/>
        <w:spacing w:after="50"/>
      </w:pPr>
      <w:r>
        <w:t>Согласие на обработку персональных данных - если конкретная обработка основана на согласии субъекта.</w:t>
      </w:r>
    </w:p>
    <w:p>
      <w:pPr>
        <w:pStyle w:val="ListBullet"/>
        <w:spacing w:after="50"/>
      </w:pPr>
      <w:r>
        <w:t>Согласие на получение рекламы - если планируются рекламные SMS, email, звонки или иная реклама по сетям электросвязи.</w:t>
      </w:r>
    </w:p>
    <w:p>
      <w:pPr>
        <w:pStyle w:val="ListBullet"/>
        <w:spacing w:after="50"/>
      </w:pPr>
      <w:r>
        <w:t>Оферта - когда договор заключается непосредственно на сайте; для дистанционной розничной продажи через Интернет с 1 сентября 2026 года доступ к оферте прямо предусмотрен Постановлением N 657.</w:t>
      </w:r>
    </w:p>
    <w:p>
      <w:pPr>
        <w:pStyle w:val="ListBullet"/>
        <w:spacing w:after="50"/>
      </w:pPr>
      <w:r>
        <w:t>Условия возврата, доставки, претензий - когда это предусмотрено моделью дистанционной торговли и специальными правилами.</w:t>
      </w:r>
    </w:p>
    <w:p>
      <w:pPr>
        <w:pStyle w:val="ListBullet"/>
        <w:spacing w:after="50"/>
      </w:pPr>
      <w:r>
        <w:t>Пользовательское соглашение - при аккаунтах, SaaS, пользовательском контенте, подписках и иных отношениях, которые необходимо регулировать.</w:t>
      </w:r>
    </w:p>
    <w:p>
      <w:pPr>
        <w:pStyle w:val="ListBullet"/>
        <w:spacing w:after="50"/>
      </w:pPr>
      <w:r>
        <w:t>Правила применения рекомендательных технологий - если используется соответствующая технология по статье 10.2-2 Закона N 149-ФЗ.</w:t>
      </w:r>
    </w:p>
    <w:p>
      <w:pPr>
        <w:pStyle w:val="ListBullet"/>
        <w:spacing w:after="50"/>
      </w:pPr>
      <w:r>
        <w:t>Правила социальной сети / специальные правила платформы - при достижении критериев соответствующего специального режима.</w:t>
      </w:r>
    </w:p>
    <w:p>
      <w:pPr>
        <w:pStyle w:val="ListBullet"/>
        <w:spacing w:after="50"/>
      </w:pPr>
      <w:r>
        <w:t>Отраслевые документы и обязательные сведения - для медицины, образования, туризма, финансовых услуг и иных регулируемых отраслей.</w:t>
      </w:r>
    </w:p>
    <w:p>
      <w:pPr>
        <w:pStyle w:val="Heading2"/>
      </w:pPr>
      <w:r>
        <w:t>13.3. Что не является универсально обязательным для каждого сайта</w:t>
      </w:r>
    </w:p>
    <w:p>
      <w:pPr>
        <w:pStyle w:val="ListBullet"/>
        <w:spacing w:after="50"/>
      </w:pPr>
      <w:r>
        <w:t>отдельный документ «Cookie Policy»;</w:t>
      </w:r>
    </w:p>
    <w:p>
      <w:pPr>
        <w:pStyle w:val="ListBullet"/>
        <w:spacing w:after="50"/>
      </w:pPr>
      <w:r>
        <w:t>европейский GDPR-style cookie-баннер как самостоятельная российская универсальная обязанность;</w:t>
      </w:r>
    </w:p>
    <w:p>
      <w:pPr>
        <w:pStyle w:val="ListBullet"/>
        <w:spacing w:after="50"/>
      </w:pPr>
      <w:r>
        <w:t>публичная оферта для обычного лендинга, который только принимает заявку и не заключает договор;</w:t>
      </w:r>
    </w:p>
    <w:p>
      <w:pPr>
        <w:pStyle w:val="ListBullet"/>
        <w:spacing w:after="50"/>
      </w:pPr>
      <w:r>
        <w:t>пользовательское соглашение для статической визитки;</w:t>
      </w:r>
    </w:p>
    <w:p>
      <w:pPr>
        <w:pStyle w:val="ListBullet"/>
        <w:spacing w:after="50"/>
      </w:pPr>
      <w:r>
        <w:t>размещение ИНН как универсального реквизита любого сайта только на основании статьи 10 Закона N 149-ФЗ;</w:t>
      </w:r>
    </w:p>
    <w:p>
      <w:pPr>
        <w:pStyle w:val="ListBullet"/>
        <w:spacing w:after="50"/>
      </w:pPr>
      <w:r>
        <w:t>размещение сайта целиком на сервере в РФ: законодательство о персональных данных требует локализации соответствующих баз и операций, а не универсально всего HTML-сайта;</w:t>
      </w:r>
    </w:p>
    <w:p>
      <w:pPr>
        <w:pStyle w:val="ListBullet"/>
        <w:spacing w:after="50"/>
      </w:pPr>
      <w:r>
        <w:t>использование исключительно доменной зоны .RU или .РФ для российского бизнеса;</w:t>
      </w:r>
    </w:p>
    <w:p>
      <w:pPr>
        <w:pStyle w:val="ListBullet"/>
        <w:spacing w:after="50"/>
      </w:pPr>
      <w:r>
        <w:t>возрастная маркировка 0+/6+/12+/16+/18+ на любом обычном коммерческом сайте независимо от содержания и статуса ресурса.</w:t>
      </w:r>
    </w:p>
    <w:p>
      <w:pPr>
        <w:pStyle w:val="Heading1"/>
      </w:pPr>
      <w:r>
        <w:t>14. Обязанности, которые выполняются вне сайта</w:t>
      </w:r>
    </w:p>
    <w:p>
      <w:r>
        <w:t>Даже идеальный футер не закрывает следующие обязанности:</w:t>
      </w:r>
    </w:p>
    <w:p>
      <w:pPr>
        <w:pStyle w:val="ListBullet"/>
        <w:spacing w:after="50"/>
      </w:pPr>
      <w:r>
        <w:t>подача уведомления Роскомнадзору об обработке персональных данных;</w:t>
      </w:r>
    </w:p>
    <w:p>
      <w:pPr>
        <w:pStyle w:val="ListBullet"/>
        <w:spacing w:after="50"/>
      </w:pPr>
      <w:r>
        <w:t>отдельное уведомление о намерении осуществлять трансграничную передачу, когда она есть;</w:t>
      </w:r>
    </w:p>
    <w:p>
      <w:pPr>
        <w:pStyle w:val="ListBullet"/>
        <w:spacing w:after="50"/>
      </w:pPr>
      <w:r>
        <w:t>локализация баз персональных данных граждан РФ;</w:t>
      </w:r>
    </w:p>
    <w:p>
      <w:pPr>
        <w:pStyle w:val="ListBullet"/>
        <w:spacing w:after="50"/>
      </w:pPr>
      <w:r>
        <w:t>договорное оформление порученной обработки внешним сервисам;</w:t>
      </w:r>
    </w:p>
    <w:p>
      <w:pPr>
        <w:pStyle w:val="ListBullet"/>
        <w:spacing w:after="50"/>
      </w:pPr>
      <w:r>
        <w:t>назначение ответственного и принятие внутренних документов у юридического лица;</w:t>
      </w:r>
    </w:p>
    <w:p>
      <w:pPr>
        <w:pStyle w:val="ListBullet"/>
        <w:spacing w:after="50"/>
      </w:pPr>
      <w:r>
        <w:t>меры информационной безопасности и управление доступом;</w:t>
      </w:r>
    </w:p>
    <w:p>
      <w:pPr>
        <w:pStyle w:val="ListBullet"/>
        <w:spacing w:after="50"/>
      </w:pPr>
      <w:r>
        <w:t>процедура реагирования на инциденты с уведомлением Роскомнадзора в установленные сроки;</w:t>
      </w:r>
    </w:p>
    <w:p>
      <w:pPr>
        <w:pStyle w:val="ListBullet"/>
        <w:spacing w:after="50"/>
      </w:pPr>
      <w:r>
        <w:t>регистрация и правильная эксплуатация ККТ при интернет-расчетах;</w:t>
      </w:r>
    </w:p>
    <w:p>
      <w:pPr>
        <w:pStyle w:val="ListBullet"/>
        <w:spacing w:after="50"/>
      </w:pPr>
      <w:r>
        <w:t>идентификация администратора российского национального домена через ЕСИА;</w:t>
      </w:r>
    </w:p>
    <w:p>
      <w:pPr>
        <w:pStyle w:val="ListBullet"/>
        <w:spacing w:after="50"/>
      </w:pPr>
      <w:r>
        <w:t>получение необходимых лицензий, разрешений, аккредитаций и включение в отраслевые реестры;</w:t>
      </w:r>
    </w:p>
    <w:p>
      <w:pPr>
        <w:pStyle w:val="ListBullet"/>
        <w:spacing w:after="50"/>
      </w:pPr>
      <w:r>
        <w:t>получение прав на контент, дизайн, программный код и товарные знаки.</w:t>
      </w:r>
    </w:p>
    <w:p>
      <w:pPr>
        <w:pStyle w:val="Heading1"/>
      </w:pPr>
      <w:r>
        <w:t>15. Предпусковой юридический чек-лист</w:t>
      </w:r>
    </w:p>
    <w:p>
      <w:r>
        <w:t>Перед публикацией или существенным обновлением сайта рекомендуется пройти следующую проверку:</w:t>
      </w:r>
    </w:p>
    <w:p>
      <w:pPr>
        <w:spacing w:after="50"/>
        <w:ind w:left="170"/>
      </w:pPr>
      <w:r>
        <w:rPr>
          <w:b/>
          <w:color w:val="2D6A8A"/>
        </w:rPr>
        <w:t xml:space="preserve">1. </w:t>
      </w:r>
      <w:r>
        <w:t>Определено юридическое лицо/ИП/физическое лицо - владелец сайта и отдельно продавец/исполнитель.</w:t>
      </w:r>
    </w:p>
    <w:p>
      <w:pPr>
        <w:spacing w:after="50"/>
        <w:ind w:left="170"/>
      </w:pPr>
      <w:r>
        <w:rPr>
          <w:b/>
          <w:color w:val="2D6A8A"/>
        </w:rPr>
        <w:t xml:space="preserve">2. </w:t>
      </w:r>
      <w:r>
        <w:t>В футере или правовом разделе доступны обязательные сведения о владельце.</w:t>
      </w:r>
    </w:p>
    <w:p>
      <w:pPr>
        <w:spacing w:after="50"/>
        <w:ind w:left="170"/>
      </w:pPr>
      <w:r>
        <w:rPr>
          <w:b/>
          <w:color w:val="2D6A8A"/>
        </w:rPr>
        <w:t xml:space="preserve">3. </w:t>
      </w:r>
      <w:r>
        <w:t>Для B2C проверен объем обязательной информации по статьям 8-10 Закона N 2300-1.</w:t>
      </w:r>
    </w:p>
    <w:p>
      <w:pPr>
        <w:spacing w:after="50"/>
        <w:ind w:left="170"/>
      </w:pPr>
      <w:r>
        <w:rPr>
          <w:b/>
          <w:color w:val="2D6A8A"/>
        </w:rPr>
        <w:t xml:space="preserve">4. </w:t>
      </w:r>
      <w:r>
        <w:t>Обязательная потребительская информация доступна на русском языке.</w:t>
      </w:r>
    </w:p>
    <w:p>
      <w:pPr>
        <w:spacing w:after="50"/>
        <w:ind w:left="170"/>
      </w:pPr>
      <w:r>
        <w:rPr>
          <w:b/>
          <w:color w:val="2D6A8A"/>
        </w:rPr>
        <w:t xml:space="preserve">5. </w:t>
      </w:r>
      <w:r>
        <w:t>Составлен перечень всех форм, cookies, счетчиков, CRM, виджетов, чатов и внешних интеграций.</w:t>
      </w:r>
    </w:p>
    <w:p>
      <w:pPr>
        <w:spacing w:after="50"/>
        <w:ind w:left="170"/>
      </w:pPr>
      <w:r>
        <w:rPr>
          <w:b/>
          <w:color w:val="2D6A8A"/>
        </w:rPr>
        <w:t xml:space="preserve">6. </w:t>
      </w:r>
      <w:r>
        <w:t>Для каждой цели обработки персональных данных определено законное основание.</w:t>
      </w:r>
    </w:p>
    <w:p>
      <w:pPr>
        <w:spacing w:after="50"/>
        <w:ind w:left="170"/>
      </w:pPr>
      <w:r>
        <w:rPr>
          <w:b/>
          <w:color w:val="2D6A8A"/>
        </w:rPr>
        <w:t xml:space="preserve">7. </w:t>
      </w:r>
      <w:r>
        <w:t>Политика персональных данных соответствует фактической архитектуре сайта.</w:t>
      </w:r>
    </w:p>
    <w:p>
      <w:pPr>
        <w:spacing w:after="50"/>
        <w:ind w:left="170"/>
      </w:pPr>
      <w:r>
        <w:rPr>
          <w:b/>
          <w:color w:val="2D6A8A"/>
        </w:rPr>
        <w:t xml:space="preserve">8. </w:t>
      </w:r>
      <w:r>
        <w:t>Если используется согласие, оно оформляется отдельно и факт его получения доказуем.</w:t>
      </w:r>
    </w:p>
    <w:p>
      <w:pPr>
        <w:spacing w:after="50"/>
        <w:ind w:left="170"/>
      </w:pPr>
      <w:r>
        <w:rPr>
          <w:b/>
          <w:color w:val="2D6A8A"/>
        </w:rPr>
        <w:t xml:space="preserve">9. </w:t>
      </w:r>
      <w:r>
        <w:t>Рекламное согласие отделено от обычной заявки и иных согласий.</w:t>
      </w:r>
    </w:p>
    <w:p>
      <w:pPr>
        <w:spacing w:after="50"/>
        <w:ind w:left="170"/>
      </w:pPr>
      <w:r>
        <w:rPr>
          <w:b/>
          <w:color w:val="2D6A8A"/>
        </w:rPr>
        <w:t xml:space="preserve">10. </w:t>
      </w:r>
      <w:r>
        <w:t>Уведомление Роскомнадзора подано или документально подтверждено наличие законного исключения.</w:t>
      </w:r>
    </w:p>
    <w:p>
      <w:pPr>
        <w:spacing w:after="50"/>
        <w:ind w:left="170"/>
      </w:pPr>
      <w:r>
        <w:rPr>
          <w:b/>
          <w:color w:val="2D6A8A"/>
        </w:rPr>
        <w:t xml:space="preserve">11. </w:t>
      </w:r>
      <w:r>
        <w:t>Проверено физическое местонахождение баз, в которые сначала записываются данные граждан РФ.</w:t>
      </w:r>
    </w:p>
    <w:p>
      <w:pPr>
        <w:spacing w:after="50"/>
        <w:ind w:left="170"/>
      </w:pPr>
      <w:r>
        <w:rPr>
          <w:b/>
          <w:color w:val="2D6A8A"/>
        </w:rPr>
        <w:t xml:space="preserve">12. </w:t>
      </w:r>
      <w:r>
        <w:t>Для иностранных сервисов проверены локализация и трансграничная передача.</w:t>
      </w:r>
    </w:p>
    <w:p>
      <w:pPr>
        <w:spacing w:after="50"/>
        <w:ind w:left="170"/>
      </w:pPr>
      <w:r>
        <w:rPr>
          <w:b/>
          <w:color w:val="2D6A8A"/>
        </w:rPr>
        <w:t xml:space="preserve">13. </w:t>
      </w:r>
      <w:r>
        <w:t>Настроены сроки хранения, удаление и обработка запросов субъектов персональных данных.</w:t>
      </w:r>
    </w:p>
    <w:p>
      <w:pPr>
        <w:spacing w:after="50"/>
        <w:ind w:left="170"/>
      </w:pPr>
      <w:r>
        <w:rPr>
          <w:b/>
          <w:color w:val="2D6A8A"/>
        </w:rPr>
        <w:t xml:space="preserve">14. </w:t>
      </w:r>
      <w:r>
        <w:t>Существует план реагирования на утечку и контакт ответственного лица.</w:t>
      </w:r>
    </w:p>
    <w:p>
      <w:pPr>
        <w:spacing w:after="50"/>
        <w:ind w:left="170"/>
      </w:pPr>
      <w:r>
        <w:rPr>
          <w:b/>
          <w:color w:val="2D6A8A"/>
        </w:rPr>
        <w:t xml:space="preserve">15. </w:t>
      </w:r>
      <w:r>
        <w:t>Если есть оплата - проверена ККТ, чеки, возвраты и условия платежей.</w:t>
      </w:r>
    </w:p>
    <w:p>
      <w:pPr>
        <w:spacing w:after="50"/>
        <w:ind w:left="170"/>
      </w:pPr>
      <w:r>
        <w:rPr>
          <w:b/>
          <w:color w:val="2D6A8A"/>
        </w:rPr>
        <w:t xml:space="preserve">16. </w:t>
      </w:r>
      <w:r>
        <w:t>Если заключается договор онлайн - проверен текст оферты/условий и механизм акцепта.</w:t>
      </w:r>
    </w:p>
    <w:p>
      <w:pPr>
        <w:spacing w:after="50"/>
        <w:ind w:left="170"/>
      </w:pPr>
      <w:r>
        <w:rPr>
          <w:b/>
          <w:color w:val="2D6A8A"/>
        </w:rPr>
        <w:t xml:space="preserve">17. </w:t>
      </w:r>
      <w:r>
        <w:t>Для интернет-магазина применены Правила Постановления N 657 с 01.09.2026.</w:t>
      </w:r>
    </w:p>
    <w:p>
      <w:pPr>
        <w:spacing w:after="50"/>
        <w:ind w:left="170"/>
      </w:pPr>
      <w:r>
        <w:rPr>
          <w:b/>
          <w:color w:val="2D6A8A"/>
        </w:rPr>
        <w:t xml:space="preserve">18. </w:t>
      </w:r>
      <w:r>
        <w:t>Нет заранее включенных дополнительных платных услуг без самостоятельного согласия.</w:t>
      </w:r>
    </w:p>
    <w:p>
      <w:pPr>
        <w:spacing w:after="50"/>
        <w:ind w:left="170"/>
      </w:pPr>
      <w:r>
        <w:rPr>
          <w:b/>
          <w:color w:val="2D6A8A"/>
        </w:rPr>
        <w:t xml:space="preserve">19. </w:t>
      </w:r>
      <w:r>
        <w:t>Если есть личный кабинет - проверен допустимый способ авторизации по части 10 статьи 8 Закона N 149-ФЗ.</w:t>
      </w:r>
    </w:p>
    <w:p>
      <w:pPr>
        <w:spacing w:after="50"/>
        <w:ind w:left="170"/>
      </w:pPr>
      <w:r>
        <w:rPr>
          <w:b/>
          <w:color w:val="2D6A8A"/>
        </w:rPr>
        <w:t xml:space="preserve">20. </w:t>
      </w:r>
      <w:r>
        <w:t>Если есть персональные рекомендации - опубликованы обязательные правила и уведомление.</w:t>
      </w:r>
    </w:p>
    <w:p>
      <w:pPr>
        <w:spacing w:after="50"/>
        <w:ind w:left="170"/>
      </w:pPr>
      <w:r>
        <w:rPr>
          <w:b/>
          <w:color w:val="2D6A8A"/>
        </w:rPr>
        <w:t xml:space="preserve">21. </w:t>
      </w:r>
      <w:r>
        <w:t>Если пользователи обмениваются сообщениями - проверен режим ОРИ.</w:t>
      </w:r>
    </w:p>
    <w:p>
      <w:pPr>
        <w:spacing w:after="50"/>
        <w:ind w:left="170"/>
      </w:pPr>
      <w:r>
        <w:rPr>
          <w:b/>
          <w:color w:val="2D6A8A"/>
        </w:rPr>
        <w:t xml:space="preserve">22. </w:t>
      </w:r>
      <w:r>
        <w:t>Если есть UGC - установлены правила модерации, жалоб и удаления незаконного контента.</w:t>
      </w:r>
    </w:p>
    <w:p>
      <w:pPr>
        <w:spacing w:after="50"/>
        <w:ind w:left="170"/>
      </w:pPr>
      <w:r>
        <w:rPr>
          <w:b/>
          <w:color w:val="2D6A8A"/>
        </w:rPr>
        <w:t xml:space="preserve">23. </w:t>
      </w:r>
      <w:r>
        <w:t>Если размещается интернет-реклама - проверены маркировка, идентификатор и передача данных в установленном порядке.</w:t>
      </w:r>
    </w:p>
    <w:p>
      <w:pPr>
        <w:spacing w:after="50"/>
        <w:ind w:left="170"/>
      </w:pPr>
      <w:r>
        <w:rPr>
          <w:b/>
          <w:color w:val="2D6A8A"/>
        </w:rPr>
        <w:t xml:space="preserve">24. </w:t>
      </w:r>
      <w:r>
        <w:t>Все фотографии, шрифты, музыка, видео, тексты и программные компоненты имеют правовое основание использования.</w:t>
      </w:r>
    </w:p>
    <w:p>
      <w:pPr>
        <w:spacing w:after="50"/>
        <w:ind w:left="170"/>
      </w:pPr>
      <w:r>
        <w:rPr>
          <w:b/>
          <w:color w:val="2D6A8A"/>
        </w:rPr>
        <w:t xml:space="preserve">25. </w:t>
      </w:r>
      <w:r>
        <w:t>Домен не нарушает права на товарные знаки; администратор домена контролируется владельцем бизнеса.</w:t>
      </w:r>
    </w:p>
    <w:p>
      <w:pPr>
        <w:spacing w:after="50"/>
        <w:ind w:left="170"/>
      </w:pPr>
      <w:r>
        <w:rPr>
          <w:b/>
          <w:color w:val="2D6A8A"/>
        </w:rPr>
        <w:t xml:space="preserve">26. </w:t>
      </w:r>
      <w:r>
        <w:t>Для .RU/.РФ/.SU пройдена необходимая идентификация через ЕСИА.</w:t>
      </w:r>
    </w:p>
    <w:p>
      <w:pPr>
        <w:spacing w:after="50"/>
        <w:ind w:left="170"/>
      </w:pPr>
      <w:r>
        <w:rPr>
          <w:b/>
          <w:color w:val="2D6A8A"/>
        </w:rPr>
        <w:t xml:space="preserve">27. </w:t>
      </w:r>
      <w:r>
        <w:t>Проверена применимость отраслевого законодательства и специальных реестров.</w:t>
      </w:r>
    </w:p>
    <w:p>
      <w:pPr>
        <w:pStyle w:val="Heading1"/>
      </w:pPr>
      <w:r>
        <w:t>16. Ответственность: ключевые риски</w:t>
      </w:r>
    </w:p>
    <w:p>
      <w:pPr>
        <w:pStyle w:val="Heading2"/>
      </w:pPr>
      <w:r>
        <w:t>16.1. Персональные данные</w:t>
      </w:r>
    </w:p>
    <w:p>
      <w:r>
        <w:t>Статья 13.11 КоАП РФ предусматривает отдельные составы ответственности за нарушения законодательства о персональных данных. Наиболее существенные для коммерческих сайтов:</w:t>
      </w:r>
    </w:p>
    <w:p>
      <w:pPr>
        <w:pStyle w:val="ListBullet"/>
        <w:spacing w:after="50"/>
      </w:pPr>
      <w:r>
        <w:t>неуведомление Роскомнадзора о намерении обрабатывать персональные данные - для юридических лиц 100 000-300 000 рублей (ч. 10 ст. 13.11 КоАП РФ);</w:t>
      </w:r>
    </w:p>
    <w:p>
      <w:pPr>
        <w:pStyle w:val="ListBullet"/>
        <w:spacing w:after="50"/>
      </w:pPr>
      <w:r>
        <w:t>неопубликование обязательной политики - отдельная ответственность по ч. 3 ст. 13.11 КоАП РФ;</w:t>
      </w:r>
    </w:p>
    <w:p>
      <w:pPr>
        <w:pStyle w:val="ListBullet"/>
        <w:spacing w:after="50"/>
      </w:pPr>
      <w:r>
        <w:t>неуведомление о произошедшем инциденте - для юридических лиц 1 000 000-3 000 000 рублей (ч. 11 ст. 13.11 КоАП РФ);</w:t>
      </w:r>
    </w:p>
    <w:p>
      <w:pPr>
        <w:pStyle w:val="ListBullet"/>
        <w:spacing w:after="50"/>
      </w:pPr>
      <w:r>
        <w:t>утечки персональных данных - штрафы зависят от количества субъектов/идентификаторов и категории данных; для юридических лиц предусмотрены многомиллионные штрафы;</w:t>
      </w:r>
    </w:p>
    <w:p>
      <w:pPr>
        <w:pStyle w:val="ListBullet"/>
        <w:spacing w:after="50"/>
      </w:pPr>
      <w:r>
        <w:t>повторная утечка может повлечь оборотный штраф 1-3 процента выручки в предусмотренных законом пределах, вплоть до 500 млн рублей.</w:t>
      </w:r>
    </w:p>
    <w:p>
      <w:r>
        <w:t>Для некоторых составов статьи 13.11 КоАП РФ индивидуальные предприниматели несут ответственность в порядке, установленном примечаниями к статье, в том числе как юридические лица для указанных в примечании составов.</w:t>
      </w:r>
    </w:p>
    <w:p>
      <w:pPr>
        <w:pStyle w:val="Heading2"/>
      </w:pPr>
      <w:r>
        <w:t>16.2. Реклама</w:t>
      </w:r>
    </w:p>
    <w:p>
      <w:r>
        <w:t>Статья 14.3 КоАП РФ содержит отдельные составы за нарушение законодательства о рекламе. За нарушение требований к рекламе по сетям электросвязи для юридических лиц предусмотрен штраф до 1 млн рублей. За распространение интернет-рекламы без необходимого идентификатора или с нарушением требований к его размещению предусмотрен отдельный штраф.</w:t>
      </w:r>
    </w:p>
    <w:p>
      <w:pPr>
        <w:pStyle w:val="Heading2"/>
      </w:pPr>
      <w:r>
        <w:t>16.3. Рекомендательные технологии и авторизация</w:t>
      </w:r>
    </w:p>
    <w:p>
      <w:r>
        <w:t>С 2026 года действуют отдельные составы КоАП РФ за нарушения требований к рекомендательным технологиям и установленным законом способам авторизации. Для юридических лиц первичные нарушения в соответствующих составах могут повлечь штраф 500 000-700 000 рублей.</w:t>
      </w:r>
    </w:p>
    <w:p>
      <w:pPr>
        <w:pStyle w:val="Heading2"/>
      </w:pPr>
      <w:r>
        <w:t>16.4. Права потребителей</w:t>
      </w:r>
    </w:p>
    <w:p>
      <w:r>
        <w:t>Нарушение права потребителя на необходимую и достоверную информацию, включение недопустимых условий договора, навязывание дополнительных товаров и услуг и другие нарушения могут повлечь административную и гражданско-правовую ответственность, включая возврат денег, убытки, неустойки, компенсацию морального вреда и предусмотренный Законом N 2300-1 штраф в пользу потребителя при неудовлетворении его требований добровольно.</w:t>
      </w:r>
    </w:p>
    <w:p>
      <w:pPr>
        <w:pStyle w:val="Heading1"/>
      </w:pPr>
      <w:r>
        <w:t>17. Частые юридические ошибки</w:t>
      </w:r>
    </w:p>
    <w:p>
      <w:pPr>
        <w:pStyle w:val="ListBullet"/>
        <w:spacing w:after="50"/>
      </w:pPr>
      <w:r>
        <w:t>Скачать чужую Политику персональных данных, не проверив, куда реально отправляются формы.</w:t>
      </w:r>
    </w:p>
    <w:p>
      <w:pPr>
        <w:pStyle w:val="ListBullet"/>
        <w:spacing w:after="50"/>
      </w:pPr>
      <w:r>
        <w:t>Поставить одну галочку «согласен со всем» одновременно на ПД, рекламу, оферту и платные допуслуги.</w:t>
      </w:r>
    </w:p>
    <w:p>
      <w:pPr>
        <w:pStyle w:val="ListBullet"/>
        <w:spacing w:after="50"/>
      </w:pPr>
      <w:r>
        <w:t>Собирать заявки сначала в зарубежной CRM, считая, что последующее копирование в российскую базу решает локализацию.</w:t>
      </w:r>
    </w:p>
    <w:p>
      <w:pPr>
        <w:pStyle w:val="ListBullet"/>
        <w:spacing w:after="50"/>
      </w:pPr>
      <w:r>
        <w:t>Считать, что платежный агрегатор автоматически решает вопрос ККТ.</w:t>
      </w:r>
    </w:p>
    <w:p>
      <w:pPr>
        <w:pStyle w:val="ListBullet"/>
        <w:spacing w:after="50"/>
      </w:pPr>
      <w:r>
        <w:t>Называть документ «не является публичной офертой» и одновременно фактически заключать договор на всех существенных условиях непосредственно через сайт.</w:t>
      </w:r>
    </w:p>
    <w:p>
      <w:pPr>
        <w:pStyle w:val="ListBullet"/>
        <w:spacing w:after="50"/>
      </w:pPr>
      <w:r>
        <w:t>Считать каждую информацию на собственном сайте рекламой либо, наоборот, считать рекламный блок третьего лица просто «информацией».</w:t>
      </w:r>
    </w:p>
    <w:p>
      <w:pPr>
        <w:pStyle w:val="ListBullet"/>
        <w:spacing w:after="50"/>
      </w:pPr>
      <w:r>
        <w:t>Использовать иностранный аккаунт как единственный способ входа для пользователей из РФ без проверки части 10 статьи 8 Закона N 149-ФЗ.</w:t>
      </w:r>
    </w:p>
    <w:p>
      <w:pPr>
        <w:pStyle w:val="ListBullet"/>
        <w:spacing w:after="50"/>
      </w:pPr>
      <w:r>
        <w:t>Включить персональные рекомендации и не опубликовать Правила применения рекомендательных технологий.</w:t>
      </w:r>
    </w:p>
    <w:p>
      <w:pPr>
        <w:pStyle w:val="ListBullet"/>
        <w:spacing w:after="50"/>
      </w:pPr>
      <w:r>
        <w:t>Оформить основной домен на веб-разработчика или сотрудника без договорного контроля.</w:t>
      </w:r>
    </w:p>
    <w:p>
      <w:pPr>
        <w:pStyle w:val="ListBullet"/>
        <w:spacing w:after="50"/>
      </w:pPr>
      <w:r>
        <w:t>Использовать фотографии и шрифты «из интернета» без лицензии.</w:t>
      </w:r>
    </w:p>
    <w:p>
      <w:pPr>
        <w:pStyle w:val="ListBullet"/>
        <w:spacing w:after="50"/>
      </w:pPr>
      <w:r>
        <w:t>Полагать, что обязательный комплект документов одинаков для визитки, интернет-магазина, SaaS и маркетплейса.</w:t>
      </w:r>
    </w:p>
    <w:p>
      <w:pPr>
        <w:pStyle w:val="Heading1"/>
      </w:pPr>
      <w:r>
        <w:t>18. Основная нормативная база</w:t>
      </w:r>
    </w:p>
    <w:p>
      <w:pPr>
        <w:spacing w:after="80"/>
      </w:pPr>
      <w:r>
        <w:rPr>
          <w:b/>
        </w:rPr>
        <w:t xml:space="preserve">Федеральный закон от 27.07.2006 N 149-ФЗ «Об информации, информационных технологиях и о защите информации». </w:t>
      </w:r>
      <w:r>
        <w:t>в частности ст. 8, 10, 10.1, 10.2-2, 10.4-10.7, 14.2.</w:t>
      </w:r>
    </w:p>
    <w:p>
      <w:pPr>
        <w:spacing w:after="80"/>
      </w:pPr>
      <w:r>
        <w:rPr>
          <w:b/>
        </w:rPr>
        <w:t xml:space="preserve">Федеральный закон от 27.07.2006 N 152-ФЗ «О персональных данных». </w:t>
      </w:r>
      <w:r>
        <w:t>в частности ст. 5, 6, 9, 12, 18, 18.1, 19, 21, 22.</w:t>
      </w:r>
    </w:p>
    <w:p>
      <w:pPr>
        <w:spacing w:after="80"/>
      </w:pPr>
      <w:r>
        <w:rPr>
          <w:b/>
        </w:rPr>
        <w:t xml:space="preserve">Закон РФ от 07.02.1992 N 2300-1 «О защите прав потребителей». </w:t>
      </w:r>
      <w:r>
        <w:t>в частности ст. 8-10.1, 16, 26.1.</w:t>
      </w:r>
    </w:p>
    <w:p>
      <w:pPr>
        <w:spacing w:after="80"/>
      </w:pPr>
      <w:r>
        <w:rPr>
          <w:b/>
        </w:rPr>
        <w:t xml:space="preserve">Федеральный закон от 13.03.2006 N 38-ФЗ «О рекламе». </w:t>
      </w:r>
      <w:r>
        <w:t>в частности ст. 18, 18.1, 18.2.</w:t>
      </w:r>
    </w:p>
    <w:p>
      <w:pPr>
        <w:spacing w:after="80"/>
      </w:pPr>
      <w:r>
        <w:rPr>
          <w:b/>
        </w:rPr>
        <w:t xml:space="preserve">Федеральный закон от 22.05.2003 N 54-ФЗ «О применении контрольно-кассовой техники при осуществлении расчетов в Российской Федерации». </w:t>
      </w:r>
      <w:r>
        <w:t>в частности ст. 1.2.</w:t>
      </w:r>
    </w:p>
    <w:p>
      <w:pPr>
        <w:spacing w:after="80"/>
      </w:pPr>
      <w:r>
        <w:rPr>
          <w:b/>
        </w:rPr>
        <w:t xml:space="preserve">Гражданский кодекс Российской Федерации. </w:t>
      </w:r>
      <w:r>
        <w:t>в частности ст. 435-438, 494, 1259, 1484 и иные нормы о договорах и интеллектуальной собственности.</w:t>
      </w:r>
    </w:p>
    <w:p>
      <w:pPr>
        <w:spacing w:after="80"/>
      </w:pPr>
      <w:r>
        <w:rPr>
          <w:b/>
        </w:rPr>
        <w:t xml:space="preserve">Кодекс Российской Федерации об административных правонарушениях. </w:t>
      </w:r>
      <w:r>
        <w:t>в частности ст. 13.11, 13.56, 14.3, 14.8.</w:t>
      </w:r>
    </w:p>
    <w:p>
      <w:pPr>
        <w:spacing w:after="80"/>
      </w:pPr>
      <w:r>
        <w:rPr>
          <w:b/>
        </w:rPr>
        <w:t xml:space="preserve">Постановление Правительства РФ от 30.05.2026 N 657. </w:t>
      </w:r>
      <w:r>
        <w:t>Правила продажи товаров по договору розничной купли-продажи; действует с 01.09.2026.</w:t>
      </w:r>
    </w:p>
    <w:p>
      <w:pPr>
        <w:spacing w:after="80"/>
      </w:pPr>
      <w:r>
        <w:rPr>
          <w:b/>
        </w:rPr>
        <w:t xml:space="preserve">Федеральный закон от 29.12.2025 N 569-ФЗ. </w:t>
      </w:r>
      <w:r>
        <w:t>изменения по доменным именам российской национальной доменной зоны с 01.09.2026.</w:t>
      </w:r>
    </w:p>
    <w:p>
      <w:pPr>
        <w:spacing w:after="80"/>
      </w:pPr>
      <w:r>
        <w:rPr>
          <w:b/>
        </w:rPr>
        <w:t xml:space="preserve">Приказ Роскомнадзора от 29.07.2019 N 216. </w:t>
      </w:r>
      <w:r>
        <w:t>перечень групп доменных имен, составляющих российскую национальную доменную зону.</w:t>
      </w:r>
    </w:p>
    <w:p>
      <w:pPr>
        <w:spacing w:after="80"/>
      </w:pPr>
      <w:r>
        <w:rPr>
          <w:b/>
        </w:rPr>
        <w:t xml:space="preserve">Федеральный закон от 24.06.2025 N 168-ФЗ. </w:t>
      </w:r>
      <w:r>
        <w:t>изменения по использованию русского языка в публичной потребительской информации с 01.03.2026.</w:t>
      </w:r>
    </w:p>
    <w:p>
      <w:pPr>
        <w:spacing w:after="80"/>
      </w:pPr>
      <w:r>
        <w:rPr>
          <w:b/>
        </w:rPr>
        <w:t xml:space="preserve">Федеральный закон от 24.06.2025 N 156-ФЗ. </w:t>
      </w:r>
      <w:r>
        <w:t>в том числе требование об отдельном оформлении согласия на обработку персональных данных с 01.09.2025.</w:t>
      </w:r>
    </w:p>
    <w:p>
      <w:pPr>
        <w:spacing w:after="80"/>
      </w:pPr>
      <w:r>
        <w:rPr>
          <w:b/>
        </w:rPr>
        <w:t xml:space="preserve">Постановление Правительства РФ от 30.05.2026 N 659. </w:t>
      </w:r>
      <w:r>
        <w:t>Правила предоставления медицинскими организациями платных медицинских услуг; действует с 01.09.2026.</w:t>
      </w:r>
    </w:p>
    <w:p>
      <w:pPr>
        <w:spacing w:after="80"/>
      </w:pPr>
      <w:r>
        <w:rPr>
          <w:b/>
        </w:rPr>
        <w:t xml:space="preserve">Федеральный закон от 29.12.2012 N 273-ФЗ «Об образовании в Российской Федерации». </w:t>
      </w:r>
      <w:r>
        <w:t>в частности ст. 29.</w:t>
      </w:r>
    </w:p>
    <w:p>
      <w:pPr>
        <w:spacing w:after="80"/>
      </w:pPr>
      <w:r>
        <w:rPr>
          <w:b/>
        </w:rPr>
        <w:t xml:space="preserve">Постановление Правительства РФ от 13.05.2026 N 551. </w:t>
      </w:r>
      <w:r>
        <w:t>Правила оказания услуг по реализации туристского продукта; действует с 01.09.2026.</w:t>
      </w:r>
    </w:p>
    <w:p>
      <w:pPr>
        <w:spacing w:after="80"/>
      </w:pPr>
      <w:r>
        <w:rPr>
          <w:b/>
        </w:rPr>
        <w:t xml:space="preserve">Закон РФ от 27.12.1991 N 2124-1 «О средствах массовой информации». </w:t>
      </w:r>
      <w:r>
        <w:t>в частности ст. 8 о сетевых изданиях.</w:t>
      </w:r>
    </w:p>
    <w:p>
      <w:pPr>
        <w:spacing w:after="80"/>
      </w:pPr>
      <w:r>
        <w:rPr>
          <w:b/>
        </w:rPr>
        <w:t xml:space="preserve">Федеральный закон от 31.07.2025 N 289-ФЗ «Об отдельных вопросах регулирования платформенной экономики в Российской Федерации». </w:t>
      </w:r>
      <w:r>
        <w:t>вступает в силу 01.10.2026 и на дату актуальности памятки еще не применяется.</w:t>
      </w:r>
    </w:p>
    <w:p>
      <w:pPr>
        <w:pStyle w:val="Heading2"/>
      </w:pPr>
      <w:r>
        <w:t>Официально проверенные источники для актуализации</w:t>
      </w:r>
    </w:p>
    <w:p>
      <w:pPr>
        <w:pStyle w:val="Small"/>
      </w:pPr>
      <w:hyperlink r:id="rId11">
        <w:r>
          <w:rPr>
            <w:color w:val="2D6A8A"/>
            <w:u w:val="single"/>
          </w:rPr>
          <w:t>149-ФЗ, КонсультантПлюс</w:t>
        </w:r>
      </w:hyperlink>
      <w:r>
        <w:t xml:space="preserve"> - https://www.consultant.ru/document/cons_doc_LAW_61798/</w:t>
      </w:r>
    </w:p>
    <w:p>
      <w:pPr>
        <w:pStyle w:val="Small"/>
      </w:pPr>
      <w:hyperlink r:id="rId12">
        <w:r>
          <w:rPr>
            <w:color w:val="2D6A8A"/>
            <w:u w:val="single"/>
          </w:rPr>
          <w:t>152-ФЗ, КонсультантПлюс</w:t>
        </w:r>
      </w:hyperlink>
      <w:r>
        <w:t xml:space="preserve"> - https://www.consultant.ru/document/cons_doc_LAW_61801/</w:t>
      </w:r>
    </w:p>
    <w:p>
      <w:pPr>
        <w:pStyle w:val="Small"/>
      </w:pPr>
      <w:hyperlink r:id="rId13">
        <w:r>
          <w:rPr>
            <w:color w:val="2D6A8A"/>
            <w:u w:val="single"/>
          </w:rPr>
          <w:t>Закон о защите прав потребителей, КонсультантПлюс</w:t>
        </w:r>
      </w:hyperlink>
      <w:r>
        <w:t xml:space="preserve"> - https://www.consultant.ru/document/cons_doc_LAW_305/</w:t>
      </w:r>
    </w:p>
    <w:p>
      <w:pPr>
        <w:pStyle w:val="Small"/>
      </w:pPr>
      <w:hyperlink r:id="rId14">
        <w:r>
          <w:rPr>
            <w:color w:val="2D6A8A"/>
            <w:u w:val="single"/>
          </w:rPr>
          <w:t>Закон о рекламе, КонсультантПлюс</w:t>
        </w:r>
      </w:hyperlink>
      <w:r>
        <w:t xml:space="preserve"> - https://www.consultant.ru/document/cons_doc_LAW_58968/</w:t>
      </w:r>
    </w:p>
    <w:p>
      <w:pPr>
        <w:pStyle w:val="Small"/>
      </w:pPr>
      <w:hyperlink r:id="rId15">
        <w:r>
          <w:rPr>
            <w:color w:val="2D6A8A"/>
            <w:u w:val="single"/>
          </w:rPr>
          <w:t>Постановление Правительства РФ N 657</w:t>
        </w:r>
      </w:hyperlink>
      <w:r>
        <w:t xml:space="preserve"> - https://www.consultant.ru/document/cons_doc_LAW_535649/</w:t>
      </w:r>
    </w:p>
    <w:p>
      <w:pPr>
        <w:pStyle w:val="Small"/>
      </w:pPr>
      <w:hyperlink r:id="rId16">
        <w:r>
          <w:rPr>
            <w:color w:val="2D6A8A"/>
            <w:u w:val="single"/>
          </w:rPr>
          <w:t>Постановление Правительства РФ N 659</w:t>
        </w:r>
      </w:hyperlink>
      <w:r>
        <w:t xml:space="preserve"> - https://www.consultant.ru/document/cons_doc_LAW_535622/</w:t>
      </w:r>
    </w:p>
    <w:p>
      <w:pPr>
        <w:pStyle w:val="Small"/>
      </w:pPr>
      <w:hyperlink r:id="rId17">
        <w:r>
          <w:rPr>
            <w:color w:val="2D6A8A"/>
            <w:u w:val="single"/>
          </w:rPr>
          <w:t>Постановление Правительства РФ N 551</w:t>
        </w:r>
      </w:hyperlink>
      <w:r>
        <w:t xml:space="preserve"> - https://www.consultant.ru/document/cons_doc_LAW_534242/</w:t>
      </w:r>
    </w:p>
    <w:p>
      <w:pPr>
        <w:pStyle w:val="Small"/>
      </w:pPr>
      <w:hyperlink r:id="rId18">
        <w:r>
          <w:rPr>
            <w:color w:val="2D6A8A"/>
            <w:u w:val="single"/>
          </w:rPr>
          <w:t>Координационный центр .RU/.РФ - FAQ</w:t>
        </w:r>
      </w:hyperlink>
      <w:r>
        <w:t xml:space="preserve"> - https://cctld.ru/help/faq/</w:t>
      </w:r>
    </w:p>
    <w:p>
      <w:pPr>
        <w:pStyle w:val="LegalNote"/>
        <w:shd w:fill="FFF4DF"/>
        <w:pBdr>
          <w:left w:val="single" w:sz="18" w:space="7" w:color="2D6A8A"/>
        </w:pBdr>
      </w:pPr>
      <w:r>
        <w:rPr>
          <w:b/>
          <w:color w:val="18324B"/>
        </w:rPr>
        <w:t xml:space="preserve">Контрольная дата. </w:t>
      </w:r>
      <w:r>
        <w:t>Эта редакция рассчитана на 1 сентября 2026 года. Для агрегаторов и маркетплейсов обязательна повторная актуализация не позднее 1 октября 2026 года в связи со вступлением в силу Федерального закона N 289-ФЗ о платформенной экономике.</w:t>
      </w:r>
    </w:p>
    <w:p>
      <w:pPr>
        <w:pStyle w:val="Small"/>
      </w:pPr>
      <w:r>
        <w:t>Редакция 1.0. Подготовлено как универсальная правовая памятка по состоянию на 01.09.2026 с учетом нормативных актов, официально опубликованных по состоянию на 29.08.2026.</w:t>
      </w:r>
    </w:p>
    <w:sectPr w:rsidR="00FC693F" w:rsidRPr="0006063C" w:rsidSect="00034616">
      <w:headerReference w:type="default" r:id="rId9"/>
      <w:footerReference w:type="default" r:id="rId10"/>
      <w:pgSz w:w="12240" w:h="15840"/>
      <w:pgMar w:top="1134" w:right="1134" w:bottom="1134" w:left="1134" w:header="420" w:footer="4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http://schemas.openxmlformats.org/wordprocessingml/2006/main">
  <w:tbl>
    <w:tblPr>
      <w:tblW w:w="0" w:type="auto"/>
      <w:tblBorders>
        <w:top w:val="single" w:sz="8" w:space="3" w:color="17A6A6"/>
      </w:tblBorders>
    </w:tblPr>
    <w:tblGrid>
      <w:gridCol w:w="7900"/>
      <w:gridCol w:w="1300"/>
    </w:tblGrid>
    <w:tr>
      <w:tc>
        <w:tcPr>
          <w:tcW w:w="7900" w:type="dxa"/>
        </w:tcPr>
        <w:p>
          <w:r>
            <w:rPr>
              <w:rFonts w:ascii="Arial" w:hAnsi="Arial"/>
              <w:sz w:val="17"/>
              <w:color w:val="17A6A6"/>
              <w:b/>
            </w:rPr>
            <w:t>Быстрый аудит вашего сайта — web.nestera.pro</w:t>
          </w:r>
        </w:p>
      </w:tc>
      <w:tc>
        <w:tcPr>
          <w:tcW w:w="1300" w:type="dxa"/>
        </w:tcPr>
        <w:p>
          <w:pPr>
            <w:jc w:val="right"/>
          </w:pPr>
          <w:r>
            <w:rPr>
              <w:rFonts w:ascii="Arial" w:hAnsi="Arial"/>
              <w:sz w:val="17"/>
              <w:color w:val="5A6872"/>
            </w:rPr>
            <w:t xml:space="preserve">Стр. </w:t>
          </w:r>
          <w:fldSimple w:instr="PAGE">
            <w:r>
              <w:rPr>
                <w:sz w:val="17"/>
              </w:rPr>
              <w:t>1</w:t>
            </w:r>
          </w:fldSimple>
        </w:p>
      </w:tc>
    </w:tr>
  </w:tbl>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tbl>
    <w:tblPr>
      <w:tblW w:w="0" w:type="auto"/>
      <w:tblBorders>
        <w:bottom w:val="single" w:sz="10" w:space="3" w:color="17A6A6"/>
      </w:tblBorders>
    </w:tblPr>
    <w:tblGrid>
      <w:gridCol w:w="3800"/>
      <w:gridCol w:w="5400"/>
    </w:tblGrid>
    <w:tr>
      <w:tc>
        <w:tcPr>
          <w:tcW w:w="3800" w:type="dxa"/>
        </w:tcPr>
        <w:p>
          <w:r>
            <w:drawing>
              <wp:inline distT="0" distB="0" distL="0" distR="0">
                <wp:extent cx="1828800" cy="550000"/>
                <wp:docPr id="101" name="NESTERA WEB3"/>
                <a:graphic>
                  <a:graphicData uri="http://schemas.openxmlformats.org/drawingml/2006/picture">
                    <pic:pic>
                      <pic:nvPicPr>
                        <pic:cNvPr id="0" name="nestera-logo.jpg"/>
                        <pic:cNvPicPr/>
                      </pic:nvPicPr>
                      <pic:blipFill>
                        <a:blip r:embed="rIdLogo"/>
                        <a:stretch>
                          <a:fillRect/>
                        </a:stretch>
                      </pic:blipFill>
                      <pic:spPr>
                        <a:xfrm>
                          <a:off x="0" y="0"/>
                          <a:ext cx="1828800" cy="550000"/>
                        </a:xfrm>
                        <a:prstGeom prst="rect">
                          <a:avLst/>
                        </a:prstGeom>
                      </pic:spPr>
                    </pic:pic>
                  </a:graphicData>
                </a:graphic>
              </wp:inline>
            </w:drawing>
          </w:r>
        </w:p>
      </w:tc>
      <w:tc>
        <w:tcPr>
          <w:tcW w:w="5400" w:type="dxa"/>
          <w:vAlign w:val="center"/>
        </w:tcPr>
        <w:p>
          <w:pPr>
            <w:jc w:val="right"/>
          </w:pPr>
          <w:r>
            <w:rPr>
              <w:rFonts w:ascii="Arial" w:hAnsi="Arial"/>
              <w:color w:val="5A6872"/>
              <w:sz w:val="15"/>
              <w:b/>
            </w:rPr>
            <w:t>ЮРИДИЧЕСКАЯ ПАМЯТКА ПО САЙТАМ РФ · 2026</w:t>
          </w:r>
        </w:p>
      </w:tc>
    </w:tr>
  </w:tbl>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Full" w:cryptAlgorithmClass="hash" w:cryptAlgorithmType="typeAny" w:cryptAlgorithmSid="14" w:cryptSpinCount="100000" w:hash="sjVNTx5bumw9yC7w5Sj3paY3f4ug/WSbxKC+Ph8J/+NSdbcRdjKYLPdI6mofVr0Ps6p94/0i7uzgb5Pne5IDGA==" w:salt="TkVTVEVSQS0yMDI2LVNMVA=="/>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9"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eastAsia="Arial"/>
      <w:b/>
      <w:bCs/>
      <w:color w:val="103B4A"/>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eastAsia="Arial"/>
      <w:b/>
      <w:bCs/>
      <w:color w:val="117F82"/>
      <w:sz w:val="27"/>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eastAsia="Arial"/>
      <w:b/>
      <w:bCs/>
      <w:color w:val="365E7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eastAsia="Arial"/>
      <w:b/>
      <w:color w:val="103B4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rial" w:hAnsi="Arial" w:eastAsia="Arial"/>
      <w:b/>
      <w:i/>
      <w:iCs/>
      <w:color w:val="51606D"/>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rFonts w:ascii="Arial" w:hAnsi="Arial" w:eastAsia="Arial"/>
      <w:sz w:val="20"/>
    </w:rPr>
  </w:style>
  <w:style w:type="paragraph" w:styleId="ListBullet2">
    <w:name w:val="List Bullet 2"/>
    <w:basedOn w:val="Normal"/>
    <w:uiPriority w:val="99"/>
    <w:unhideWhenUsed/>
    <w:rsid w:val="00326F90"/>
    <w:pPr>
      <w:numPr>
        <w:numId w:val="2"/>
      </w:numPr>
      <w:spacing w:after="50"/>
      <w:contextualSpacing/>
    </w:pPr>
    <w:rPr>
      <w:rFonts w:ascii="Arial" w:hAnsi="Arial" w:eastAsia="Arial"/>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pPr>
      <w:spacing w:before="80" w:after="140"/>
      <w:ind w:left="283" w:right="170"/>
    </w:pPr>
    <w:rPr>
      <w:rFonts w:ascii="Arial" w:hAnsi="Arial" w:eastAsia="Arial"/>
      <w:color w:val="37434C"/>
      <w:sz w:val="19"/>
    </w:rPr>
  </w:style>
  <w:style w:type="paragraph" w:customStyle="1" w:styleId="Small">
    <w:name w:val="Small"/>
    <w:pPr>
      <w:spacing w:after="60"/>
    </w:pPr>
    <w:rPr>
      <w:rFonts w:ascii="Arial" w:hAnsi="Arial" w:eastAsia="Arial"/>
      <w:color w:val="5A5A5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onsultant.ru/document/cons_doc_LAW_61798/" TargetMode="External"/><Relationship Id="rId12" Type="http://schemas.openxmlformats.org/officeDocument/2006/relationships/hyperlink" Target="https://www.consultant.ru/document/cons_doc_LAW_61801/" TargetMode="External"/><Relationship Id="rId13" Type="http://schemas.openxmlformats.org/officeDocument/2006/relationships/hyperlink" Target="https://www.consultant.ru/document/cons_doc_LAW_305/" TargetMode="External"/><Relationship Id="rId14" Type="http://schemas.openxmlformats.org/officeDocument/2006/relationships/hyperlink" Target="https://www.consultant.ru/document/cons_doc_LAW_58968/" TargetMode="External"/><Relationship Id="rId15" Type="http://schemas.openxmlformats.org/officeDocument/2006/relationships/hyperlink" Target="https://www.consultant.ru/document/cons_doc_LAW_535649/" TargetMode="External"/><Relationship Id="rId16" Type="http://schemas.openxmlformats.org/officeDocument/2006/relationships/hyperlink" Target="https://www.consultant.ru/document/cons_doc_LAW_535622/" TargetMode="External"/><Relationship Id="rId17" Type="http://schemas.openxmlformats.org/officeDocument/2006/relationships/hyperlink" Target="https://www.consultant.ru/document/cons_doc_LAW_534242/" TargetMode="External"/><Relationship Id="rId18" Type="http://schemas.openxmlformats.org/officeDocument/2006/relationships/hyperlink" Target="https://cctld.ru/help/faq/" TargetMode="External"/></Relationships>
</file>

<file path=word/_rels/header1.xml.rels><?xml version="1.0" encoding="UTF-8" standalone="yes"?>
<Relationships xmlns="http://schemas.openxmlformats.org/package/2006/relationships">
  <Relationship Id="rIdLogo" Type="http://schemas.openxmlformats.org/officeDocument/2006/relationships/image" Target="media/nestera-logo.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по юридическому оформлению сайтов и доменных имен в РФ - сентябрь 2026</dc:title>
  <dc:subject>Требования законодательства РФ к сайтам, доменам, персональным данным, интернет-магазинам и онлайн-сервисам</dc:subject>
  <dc:creator>OpenAI</dc:creator>
  <cp:keywords>сайт, РФ, закон, персональные данные, 152-ФЗ, 149-ФЗ, интернет-магазин, домен, сентябрь 2026</cp:keywords>
  <dc:description>generated by python-docx</dc:description>
  <cp:lastModifiedBy/>
  <cp:revision>1</cp:revision>
  <dcterms:created xsi:type="dcterms:W3CDTF">2013-12-23T23:15:00Z</dcterms:created>
  <dcterms:modified xsi:type="dcterms:W3CDTF">2013-12-23T23:15:00Z</dcterms:modified>
  <cp:category/>
</cp:coreProperties>
</file>